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80F14">
      <w:pPr>
        <w:keepNext w:val="0"/>
        <w:keepLines w:val="0"/>
        <w:pageBreakBefore w:val="0"/>
        <w:tabs>
          <w:tab w:val="left" w:pos="5040"/>
          <w:tab w:val="left" w:pos="6120"/>
        </w:tabs>
        <w:wordWrap w:val="0"/>
        <w:overflowPunct/>
        <w:bidi w:val="0"/>
        <w:spacing w:line="360" w:lineRule="auto"/>
        <w:ind w:left="0" w:leftChars="0" w:right="104" w:firstLine="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drawing>
          <wp:inline distT="0" distB="0" distL="0" distR="0">
            <wp:extent cx="3571875" cy="9239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571875" cy="923925"/>
                    </a:xfrm>
                    <a:prstGeom prst="rect">
                      <a:avLst/>
                    </a:prstGeom>
                    <a:noFill/>
                    <a:ln>
                      <a:noFill/>
                    </a:ln>
                  </pic:spPr>
                </pic:pic>
              </a:graphicData>
            </a:graphic>
          </wp:inline>
        </w:drawing>
      </w:r>
    </w:p>
    <w:p w14:paraId="76BB4C5E">
      <w:pPr>
        <w:pStyle w:val="8"/>
        <w:keepNext w:val="0"/>
        <w:keepLines w:val="0"/>
        <w:pageBreakBefore w:val="0"/>
        <w:overflowPunct/>
        <w:bidi w:val="0"/>
        <w:spacing w:line="360" w:lineRule="auto"/>
        <w:jc w:val="center"/>
        <w:rPr>
          <w:rFonts w:hint="eastAsia" w:ascii="仿宋_GB2312" w:hAnsi="仿宋_GB2312" w:eastAsia="仿宋_GB2312" w:cs="仿宋_GB2312"/>
          <w:color w:val="auto"/>
          <w:sz w:val="28"/>
          <w:szCs w:val="28"/>
          <w:highlight w:val="none"/>
        </w:rPr>
      </w:pPr>
    </w:p>
    <w:p w14:paraId="66DE9C21">
      <w:pPr>
        <w:pStyle w:val="2"/>
        <w:keepNext w:val="0"/>
        <w:keepLines w:val="0"/>
        <w:pageBreakBefore w:val="0"/>
        <w:overflowPunct/>
        <w:bidi w:val="0"/>
        <w:spacing w:line="360" w:lineRule="auto"/>
        <w:jc w:val="center"/>
        <w:rPr>
          <w:rFonts w:hint="eastAsia" w:ascii="仿宋_GB2312" w:hAnsi="仿宋_GB2312" w:eastAsia="仿宋_GB2312" w:cs="仿宋_GB2312"/>
          <w:color w:val="auto"/>
          <w:sz w:val="28"/>
          <w:szCs w:val="28"/>
          <w:highlight w:val="none"/>
        </w:rPr>
      </w:pPr>
    </w:p>
    <w:p w14:paraId="6B9E8398">
      <w:pPr>
        <w:pStyle w:val="22"/>
        <w:keepNext w:val="0"/>
        <w:keepLines w:val="0"/>
        <w:pageBreakBefore w:val="0"/>
        <w:wordWrap w:val="0"/>
        <w:overflowPunct/>
        <w:bidi w:val="0"/>
        <w:spacing w:line="360" w:lineRule="auto"/>
        <w:jc w:val="center"/>
        <w:rPr>
          <w:rFonts w:hint="eastAsia" w:ascii="仿宋_GB2312" w:hAnsi="仿宋_GB2312" w:eastAsia="仿宋_GB2312" w:cs="仿宋_GB2312"/>
          <w:b/>
          <w:bCs w:val="0"/>
          <w:color w:val="auto"/>
          <w:sz w:val="36"/>
          <w:szCs w:val="36"/>
          <w:highlight w:val="none"/>
          <w:lang w:val="en-US" w:eastAsia="zh-CN"/>
        </w:rPr>
      </w:pPr>
      <w:r>
        <w:rPr>
          <w:rFonts w:hint="eastAsia" w:ascii="仿宋_GB2312" w:hAnsi="仿宋_GB2312" w:eastAsia="仿宋_GB2312" w:cs="仿宋_GB2312"/>
          <w:b/>
          <w:bCs w:val="0"/>
          <w:color w:val="auto"/>
          <w:sz w:val="36"/>
          <w:szCs w:val="36"/>
          <w:highlight w:val="none"/>
          <w:lang w:val="en-US" w:eastAsia="zh-CN"/>
        </w:rPr>
        <w:t>安徽新安银行办公电脑采购项目</w:t>
      </w:r>
    </w:p>
    <w:p w14:paraId="3DED89D2">
      <w:pPr>
        <w:pStyle w:val="22"/>
        <w:keepNext w:val="0"/>
        <w:keepLines w:val="0"/>
        <w:pageBreakBefore w:val="0"/>
        <w:wordWrap w:val="0"/>
        <w:overflowPunct/>
        <w:bidi w:val="0"/>
        <w:spacing w:line="360" w:lineRule="auto"/>
        <w:jc w:val="both"/>
        <w:rPr>
          <w:rFonts w:hint="eastAsia" w:ascii="仿宋_GB2312" w:hAnsi="仿宋_GB2312" w:eastAsia="仿宋_GB2312" w:cs="仿宋_GB2312"/>
          <w:b/>
          <w:bCs w:val="0"/>
          <w:color w:val="auto"/>
          <w:sz w:val="36"/>
          <w:szCs w:val="36"/>
          <w:highlight w:val="none"/>
          <w:lang w:val="en-US" w:eastAsia="zh-CN"/>
        </w:rPr>
      </w:pPr>
    </w:p>
    <w:p w14:paraId="3F4FC232">
      <w:pPr>
        <w:pStyle w:val="22"/>
        <w:keepNext w:val="0"/>
        <w:keepLines w:val="0"/>
        <w:pageBreakBefore w:val="0"/>
        <w:wordWrap w:val="0"/>
        <w:overflowPunct/>
        <w:bidi w:val="0"/>
        <w:spacing w:line="360" w:lineRule="auto"/>
        <w:jc w:val="both"/>
        <w:rPr>
          <w:rFonts w:hint="eastAsia" w:ascii="仿宋_GB2312" w:hAnsi="仿宋_GB2312" w:eastAsia="仿宋_GB2312" w:cs="仿宋_GB2312"/>
          <w:b/>
          <w:bCs w:val="0"/>
          <w:color w:val="auto"/>
          <w:sz w:val="36"/>
          <w:szCs w:val="36"/>
          <w:highlight w:val="none"/>
          <w:lang w:val="en-US" w:eastAsia="zh-CN"/>
        </w:rPr>
      </w:pPr>
    </w:p>
    <w:p w14:paraId="65E47C43">
      <w:pPr>
        <w:pStyle w:val="22"/>
        <w:keepNext w:val="0"/>
        <w:keepLines w:val="0"/>
        <w:pageBreakBefore w:val="0"/>
        <w:wordWrap w:val="0"/>
        <w:overflowPunct/>
        <w:bidi w:val="0"/>
        <w:spacing w:line="360" w:lineRule="auto"/>
        <w:jc w:val="both"/>
        <w:rPr>
          <w:rFonts w:hint="eastAsia" w:ascii="仿宋_GB2312" w:hAnsi="仿宋_GB2312" w:eastAsia="仿宋_GB2312" w:cs="仿宋_GB2312"/>
          <w:b/>
          <w:bCs w:val="0"/>
          <w:color w:val="auto"/>
          <w:sz w:val="36"/>
          <w:szCs w:val="36"/>
          <w:highlight w:val="none"/>
          <w:lang w:val="en-US" w:eastAsia="zh-CN"/>
        </w:rPr>
      </w:pPr>
    </w:p>
    <w:p w14:paraId="75B09560">
      <w:pPr>
        <w:pStyle w:val="22"/>
        <w:keepNext w:val="0"/>
        <w:keepLines w:val="0"/>
        <w:pageBreakBefore w:val="0"/>
        <w:wordWrap w:val="0"/>
        <w:overflowPunct/>
        <w:bidi w:val="0"/>
        <w:spacing w:line="360" w:lineRule="auto"/>
        <w:jc w:val="both"/>
        <w:rPr>
          <w:rFonts w:hint="eastAsia" w:ascii="仿宋_GB2312" w:hAnsi="仿宋_GB2312" w:eastAsia="仿宋_GB2312" w:cs="仿宋_GB2312"/>
          <w:b/>
          <w:bCs w:val="0"/>
          <w:color w:val="auto"/>
          <w:sz w:val="36"/>
          <w:szCs w:val="36"/>
          <w:highlight w:val="none"/>
          <w:lang w:val="en-US" w:eastAsia="zh-CN"/>
        </w:rPr>
      </w:pPr>
    </w:p>
    <w:p w14:paraId="4115E32F">
      <w:pPr>
        <w:pStyle w:val="22"/>
        <w:keepNext w:val="0"/>
        <w:keepLines w:val="0"/>
        <w:pageBreakBefore w:val="0"/>
        <w:wordWrap w:val="0"/>
        <w:overflowPunct/>
        <w:bidi w:val="0"/>
        <w:spacing w:line="360" w:lineRule="auto"/>
        <w:jc w:val="both"/>
        <w:rPr>
          <w:rFonts w:hint="eastAsia" w:ascii="仿宋_GB2312" w:hAnsi="仿宋_GB2312" w:eastAsia="仿宋_GB2312" w:cs="仿宋_GB2312"/>
          <w:b/>
          <w:bCs w:val="0"/>
          <w:color w:val="auto"/>
          <w:sz w:val="36"/>
          <w:szCs w:val="36"/>
          <w:highlight w:val="none"/>
          <w:lang w:val="en-US" w:eastAsia="zh-CN"/>
        </w:rPr>
      </w:pPr>
    </w:p>
    <w:p w14:paraId="19FF1236">
      <w:pPr>
        <w:pStyle w:val="22"/>
        <w:keepNext w:val="0"/>
        <w:keepLines w:val="0"/>
        <w:pageBreakBefore w:val="0"/>
        <w:wordWrap w:val="0"/>
        <w:overflowPunct/>
        <w:bidi w:val="0"/>
        <w:spacing w:line="360" w:lineRule="auto"/>
        <w:jc w:val="center"/>
        <w:rPr>
          <w:rFonts w:hint="eastAsia" w:ascii="仿宋_GB2312" w:hAnsi="仿宋_GB2312" w:eastAsia="仿宋_GB2312" w:cs="仿宋_GB2312"/>
          <w:b/>
          <w:bCs w:val="0"/>
          <w:color w:val="auto"/>
          <w:sz w:val="36"/>
          <w:szCs w:val="36"/>
          <w:highlight w:val="none"/>
        </w:rPr>
      </w:pPr>
      <w:r>
        <w:rPr>
          <w:rFonts w:hint="eastAsia" w:ascii="仿宋_GB2312" w:hAnsi="仿宋_GB2312" w:eastAsia="仿宋_GB2312" w:cs="仿宋_GB2312"/>
          <w:b/>
          <w:bCs w:val="0"/>
          <w:color w:val="auto"/>
          <w:sz w:val="36"/>
          <w:szCs w:val="36"/>
          <w:highlight w:val="none"/>
          <w:lang w:val="en-US" w:eastAsia="zh-CN"/>
        </w:rPr>
        <w:t>招标</w:t>
      </w:r>
      <w:r>
        <w:rPr>
          <w:rFonts w:hint="eastAsia" w:ascii="仿宋_GB2312" w:hAnsi="仿宋_GB2312" w:eastAsia="仿宋_GB2312" w:cs="仿宋_GB2312"/>
          <w:b/>
          <w:bCs w:val="0"/>
          <w:color w:val="auto"/>
          <w:sz w:val="36"/>
          <w:szCs w:val="36"/>
          <w:highlight w:val="none"/>
          <w:lang w:eastAsia="zh-CN"/>
        </w:rPr>
        <w:t>文件</w:t>
      </w:r>
    </w:p>
    <w:p w14:paraId="5F4FA980">
      <w:pPr>
        <w:keepNext w:val="0"/>
        <w:keepLines w:val="0"/>
        <w:pageBreakBefore w:val="0"/>
        <w:wordWrap w:val="0"/>
        <w:overflowPunct/>
        <w:bidi w:val="0"/>
        <w:spacing w:line="360" w:lineRule="auto"/>
        <w:jc w:val="both"/>
        <w:rPr>
          <w:rFonts w:hint="eastAsia" w:ascii="仿宋_GB2312" w:hAnsi="仿宋_GB2312" w:eastAsia="仿宋_GB2312" w:cs="仿宋_GB2312"/>
          <w:color w:val="auto"/>
          <w:sz w:val="28"/>
          <w:szCs w:val="28"/>
          <w:highlight w:val="none"/>
        </w:rPr>
      </w:pPr>
    </w:p>
    <w:p w14:paraId="12E3CC50">
      <w:pPr>
        <w:pStyle w:val="2"/>
        <w:keepNext w:val="0"/>
        <w:keepLines w:val="0"/>
        <w:pageBreakBefore w:val="0"/>
        <w:overflowPunct/>
        <w:bidi w:val="0"/>
        <w:rPr>
          <w:rFonts w:hint="eastAsia" w:ascii="仿宋_GB2312" w:hAnsi="仿宋_GB2312" w:eastAsia="仿宋_GB2312" w:cs="仿宋_GB2312"/>
          <w:color w:val="auto"/>
          <w:sz w:val="28"/>
          <w:szCs w:val="28"/>
          <w:highlight w:val="none"/>
        </w:rPr>
      </w:pPr>
    </w:p>
    <w:p w14:paraId="15976883">
      <w:pPr>
        <w:pStyle w:val="2"/>
        <w:keepNext w:val="0"/>
        <w:keepLines w:val="0"/>
        <w:pageBreakBefore w:val="0"/>
        <w:overflowPunct/>
        <w:bidi w:val="0"/>
        <w:rPr>
          <w:rFonts w:hint="eastAsia" w:ascii="仿宋_GB2312" w:hAnsi="仿宋_GB2312" w:eastAsia="仿宋_GB2312" w:cs="仿宋_GB2312"/>
          <w:color w:val="auto"/>
          <w:sz w:val="28"/>
          <w:szCs w:val="28"/>
          <w:highlight w:val="none"/>
        </w:rPr>
      </w:pPr>
    </w:p>
    <w:p w14:paraId="0A312D5D">
      <w:pPr>
        <w:keepNext w:val="0"/>
        <w:keepLines w:val="0"/>
        <w:pageBreakBefore w:val="0"/>
        <w:wordWrap w:val="0"/>
        <w:overflowPunct/>
        <w:bidi w:val="0"/>
        <w:spacing w:line="360" w:lineRule="auto"/>
        <w:jc w:val="both"/>
        <w:rPr>
          <w:rFonts w:hint="eastAsia" w:ascii="仿宋_GB2312" w:hAnsi="仿宋_GB2312" w:eastAsia="仿宋_GB2312" w:cs="仿宋_GB2312"/>
          <w:color w:val="auto"/>
          <w:sz w:val="28"/>
          <w:szCs w:val="28"/>
          <w:highlight w:val="none"/>
        </w:rPr>
      </w:pPr>
    </w:p>
    <w:p w14:paraId="083B6EC9">
      <w:pPr>
        <w:pStyle w:val="8"/>
        <w:keepNext w:val="0"/>
        <w:keepLines w:val="0"/>
        <w:pageBreakBefore w:val="0"/>
        <w:overflowPunct/>
        <w:bidi w:val="0"/>
        <w:spacing w:line="360" w:lineRule="auto"/>
        <w:rPr>
          <w:rFonts w:hint="eastAsia" w:ascii="仿宋_GB2312" w:hAnsi="仿宋_GB2312" w:eastAsia="仿宋_GB2312" w:cs="仿宋_GB2312"/>
          <w:color w:val="auto"/>
          <w:sz w:val="28"/>
          <w:szCs w:val="28"/>
          <w:highlight w:val="none"/>
        </w:rPr>
      </w:pPr>
    </w:p>
    <w:p w14:paraId="3087E335">
      <w:pPr>
        <w:keepNext w:val="0"/>
        <w:keepLines w:val="0"/>
        <w:pageBreakBefore w:val="0"/>
        <w:wordWrap w:val="0"/>
        <w:overflowPunct/>
        <w:bidi w:val="0"/>
        <w:spacing w:line="360" w:lineRule="auto"/>
        <w:jc w:val="center"/>
        <w:rPr>
          <w:rFonts w:hint="eastAsia" w:ascii="仿宋_GB2312" w:hAnsi="仿宋_GB2312" w:eastAsia="仿宋_GB2312" w:cs="仿宋_GB2312"/>
          <w:color w:val="auto"/>
          <w:sz w:val="28"/>
          <w:szCs w:val="28"/>
          <w:highlight w:val="none"/>
        </w:rPr>
        <w:sectPr>
          <w:footerReference r:id="rId7" w:type="first"/>
          <w:headerReference r:id="rId5" w:type="default"/>
          <w:footerReference r:id="rId6" w:type="default"/>
          <w:pgSz w:w="11906" w:h="16838"/>
          <w:pgMar w:top="1417" w:right="1701" w:bottom="1417" w:left="1701" w:header="851" w:footer="992" w:gutter="0"/>
          <w:pgNumType w:start="0"/>
          <w:cols w:space="425" w:num="1"/>
          <w:titlePg/>
          <w:docGrid w:type="lines" w:linePitch="312" w:charSpace="0"/>
        </w:sectPr>
      </w:pPr>
      <w:r>
        <w:rPr>
          <w:rFonts w:hint="eastAsia" w:ascii="仿宋_GB2312" w:hAnsi="仿宋_GB2312" w:eastAsia="仿宋_GB2312" w:cs="仿宋_GB2312"/>
          <w:color w:val="auto"/>
          <w:sz w:val="28"/>
          <w:szCs w:val="28"/>
          <w:highlight w:val="none"/>
        </w:rPr>
        <w:t>202</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rPr>
        <w:t>月</w:t>
      </w:r>
    </w:p>
    <w:p w14:paraId="58AEFCC0">
      <w:pPr>
        <w:keepNext w:val="0"/>
        <w:keepLines w:val="0"/>
        <w:pageBreakBefore w:val="0"/>
        <w:overflowPunct/>
        <w:bidi w:val="0"/>
        <w:spacing w:line="360" w:lineRule="auto"/>
        <w:jc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目录</w:t>
      </w:r>
    </w:p>
    <w:p w14:paraId="1CD5500C">
      <w:pPr>
        <w:pStyle w:val="11"/>
        <w:tabs>
          <w:tab w:val="right" w:leader="dot" w:pos="8504"/>
        </w:tabs>
      </w:pPr>
      <w:r>
        <w:rPr>
          <w:rFonts w:hint="eastAsia" w:ascii="仿宋_GB2312" w:hAnsi="仿宋_GB2312" w:eastAsia="仿宋_GB2312" w:cs="仿宋_GB2312"/>
          <w:color w:val="auto"/>
          <w:sz w:val="28"/>
          <w:szCs w:val="28"/>
          <w:highlight w:val="none"/>
          <w:lang w:val="en-US" w:eastAsia="zh-CN"/>
        </w:rPr>
        <w:fldChar w:fldCharType="begin"/>
      </w:r>
      <w:r>
        <w:rPr>
          <w:rFonts w:hint="eastAsia" w:ascii="仿宋_GB2312" w:hAnsi="仿宋_GB2312" w:eastAsia="仿宋_GB2312" w:cs="仿宋_GB2312"/>
          <w:color w:val="auto"/>
          <w:sz w:val="28"/>
          <w:szCs w:val="28"/>
          <w:highlight w:val="none"/>
          <w:lang w:val="en-US" w:eastAsia="zh-CN"/>
        </w:rPr>
        <w:instrText xml:space="preserve">TOC \o "1-3" \h \u </w:instrText>
      </w:r>
      <w:r>
        <w:rPr>
          <w:rFonts w:hint="eastAsia" w:ascii="仿宋_GB2312" w:hAnsi="仿宋_GB2312" w:eastAsia="仿宋_GB2312" w:cs="仿宋_GB2312"/>
          <w:color w:val="auto"/>
          <w:sz w:val="28"/>
          <w:szCs w:val="28"/>
          <w:highlight w:val="none"/>
          <w:lang w:val="en-US" w:eastAsia="zh-CN"/>
        </w:rPr>
        <w:fldChar w:fldCharType="separate"/>
      </w: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_Toc27289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rPr>
        <w:t>第一部分</w:t>
      </w:r>
      <w:r>
        <w:rPr>
          <w:rFonts w:hint="eastAsia" w:ascii="仿宋_GB2312" w:hAnsi="仿宋_GB2312" w:eastAsia="仿宋_GB2312" w:cs="仿宋_GB2312"/>
          <w:bCs/>
          <w:szCs w:val="28"/>
          <w:highlight w:val="none"/>
          <w:lang w:val="en-US" w:eastAsia="zh-CN"/>
        </w:rPr>
        <w:t xml:space="preserve">  招标</w:t>
      </w:r>
      <w:r>
        <w:rPr>
          <w:rFonts w:hint="eastAsia" w:ascii="仿宋_GB2312" w:hAnsi="仿宋_GB2312" w:eastAsia="仿宋_GB2312" w:cs="仿宋_GB2312"/>
          <w:bCs/>
          <w:szCs w:val="28"/>
          <w:highlight w:val="none"/>
        </w:rPr>
        <w:t>公告</w:t>
      </w:r>
      <w:r>
        <w:tab/>
      </w:r>
      <w:r>
        <w:fldChar w:fldCharType="begin"/>
      </w:r>
      <w:r>
        <w:instrText xml:space="preserve"> PAGEREF _Toc27289 \h </w:instrText>
      </w:r>
      <w:r>
        <w:fldChar w:fldCharType="separate"/>
      </w:r>
      <w:r>
        <w:t>- 3 -</w:t>
      </w:r>
      <w:r>
        <w:fldChar w:fldCharType="end"/>
      </w:r>
      <w:r>
        <w:rPr>
          <w:rFonts w:hint="eastAsia" w:ascii="仿宋_GB2312" w:hAnsi="仿宋_GB2312" w:eastAsia="仿宋_GB2312" w:cs="仿宋_GB2312"/>
          <w:color w:val="auto"/>
          <w:szCs w:val="28"/>
          <w:highlight w:val="none"/>
          <w:lang w:val="en-US" w:eastAsia="zh-CN"/>
        </w:rPr>
        <w:fldChar w:fldCharType="end"/>
      </w:r>
    </w:p>
    <w:p w14:paraId="5390D359">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_Toc23143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一、采购项目名称及内容</w:t>
      </w:r>
      <w:r>
        <w:tab/>
      </w:r>
      <w:r>
        <w:fldChar w:fldCharType="begin"/>
      </w:r>
      <w:r>
        <w:instrText xml:space="preserve"> PAGEREF _Toc23143 \h </w:instrText>
      </w:r>
      <w:r>
        <w:fldChar w:fldCharType="separate"/>
      </w:r>
      <w:r>
        <w:t>- 3 -</w:t>
      </w:r>
      <w:r>
        <w:fldChar w:fldCharType="end"/>
      </w:r>
      <w:r>
        <w:rPr>
          <w:rFonts w:hint="eastAsia" w:ascii="仿宋_GB2312" w:hAnsi="仿宋_GB2312" w:eastAsia="仿宋_GB2312" w:cs="仿宋_GB2312"/>
          <w:color w:val="auto"/>
          <w:szCs w:val="28"/>
          <w:highlight w:val="none"/>
          <w:lang w:val="en-US" w:eastAsia="zh-CN"/>
        </w:rPr>
        <w:fldChar w:fldCharType="end"/>
      </w:r>
    </w:p>
    <w:p w14:paraId="1F8D8410">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_Toc22358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二、合格供应商资格要求</w:t>
      </w:r>
      <w:r>
        <w:tab/>
      </w:r>
      <w:r>
        <w:fldChar w:fldCharType="begin"/>
      </w:r>
      <w:r>
        <w:instrText xml:space="preserve"> PAGEREF _Toc22358 \h </w:instrText>
      </w:r>
      <w:r>
        <w:fldChar w:fldCharType="separate"/>
      </w:r>
      <w:r>
        <w:t>- 3 -</w:t>
      </w:r>
      <w:r>
        <w:fldChar w:fldCharType="end"/>
      </w:r>
      <w:r>
        <w:rPr>
          <w:rFonts w:hint="eastAsia" w:ascii="仿宋_GB2312" w:hAnsi="仿宋_GB2312" w:eastAsia="仿宋_GB2312" w:cs="仿宋_GB2312"/>
          <w:color w:val="auto"/>
          <w:szCs w:val="28"/>
          <w:highlight w:val="none"/>
          <w:lang w:val="en-US" w:eastAsia="zh-CN"/>
        </w:rPr>
        <w:fldChar w:fldCharType="end"/>
      </w:r>
    </w:p>
    <w:p w14:paraId="60BC8817">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_Toc3376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三、报名方式及资格审查</w:t>
      </w:r>
      <w:r>
        <w:tab/>
      </w:r>
      <w:r>
        <w:fldChar w:fldCharType="begin"/>
      </w:r>
      <w:r>
        <w:instrText xml:space="preserve"> PAGEREF _Toc3376 \h </w:instrText>
      </w:r>
      <w:r>
        <w:fldChar w:fldCharType="separate"/>
      </w:r>
      <w:r>
        <w:t>- 4 -</w:t>
      </w:r>
      <w:r>
        <w:fldChar w:fldCharType="end"/>
      </w:r>
      <w:r>
        <w:rPr>
          <w:rFonts w:hint="eastAsia" w:ascii="仿宋_GB2312" w:hAnsi="仿宋_GB2312" w:eastAsia="仿宋_GB2312" w:cs="仿宋_GB2312"/>
          <w:color w:val="auto"/>
          <w:szCs w:val="28"/>
          <w:highlight w:val="none"/>
          <w:lang w:val="en-US" w:eastAsia="zh-CN"/>
        </w:rPr>
        <w:fldChar w:fldCharType="end"/>
      </w:r>
    </w:p>
    <w:p w14:paraId="0F0D95EC">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_Toc28832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val="0"/>
          <w:szCs w:val="28"/>
          <w:highlight w:val="none"/>
          <w:lang w:val="en-US" w:eastAsia="zh-CN"/>
        </w:rPr>
        <w:t>四、招标日期和地点</w:t>
      </w:r>
      <w:r>
        <w:tab/>
      </w:r>
      <w:r>
        <w:fldChar w:fldCharType="begin"/>
      </w:r>
      <w:r>
        <w:instrText xml:space="preserve"> PAGEREF _Toc28832 \h </w:instrText>
      </w:r>
      <w:r>
        <w:fldChar w:fldCharType="separate"/>
      </w:r>
      <w:r>
        <w:t>- 4 -</w:t>
      </w:r>
      <w:r>
        <w:fldChar w:fldCharType="end"/>
      </w:r>
      <w:r>
        <w:rPr>
          <w:rFonts w:hint="eastAsia" w:ascii="仿宋_GB2312" w:hAnsi="仿宋_GB2312" w:eastAsia="仿宋_GB2312" w:cs="仿宋_GB2312"/>
          <w:color w:val="auto"/>
          <w:szCs w:val="28"/>
          <w:highlight w:val="none"/>
          <w:lang w:val="en-US" w:eastAsia="zh-CN"/>
        </w:rPr>
        <w:fldChar w:fldCharType="end"/>
      </w:r>
    </w:p>
    <w:p w14:paraId="067E311C">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_Toc22151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val="0"/>
          <w:szCs w:val="28"/>
          <w:highlight w:val="none"/>
          <w:lang w:val="en-US" w:eastAsia="zh-CN"/>
        </w:rPr>
        <w:t>五、评价方式</w:t>
      </w:r>
      <w:r>
        <w:tab/>
      </w:r>
      <w:r>
        <w:fldChar w:fldCharType="begin"/>
      </w:r>
      <w:r>
        <w:instrText xml:space="preserve"> PAGEREF _Toc22151 \h </w:instrText>
      </w:r>
      <w:r>
        <w:fldChar w:fldCharType="separate"/>
      </w:r>
      <w:r>
        <w:t>- 4 -</w:t>
      </w:r>
      <w:r>
        <w:fldChar w:fldCharType="end"/>
      </w:r>
      <w:r>
        <w:rPr>
          <w:rFonts w:hint="eastAsia" w:ascii="仿宋_GB2312" w:hAnsi="仿宋_GB2312" w:eastAsia="仿宋_GB2312" w:cs="仿宋_GB2312"/>
          <w:color w:val="auto"/>
          <w:szCs w:val="28"/>
          <w:highlight w:val="none"/>
          <w:lang w:val="en-US" w:eastAsia="zh-CN"/>
        </w:rPr>
        <w:fldChar w:fldCharType="end"/>
      </w:r>
    </w:p>
    <w:p w14:paraId="6DFE5EB2">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_Toc22175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val="0"/>
          <w:szCs w:val="28"/>
          <w:highlight w:val="none"/>
          <w:lang w:val="en-US" w:eastAsia="zh-CN"/>
        </w:rPr>
        <w:t>六、联系方式</w:t>
      </w:r>
      <w:r>
        <w:tab/>
      </w:r>
      <w:r>
        <w:fldChar w:fldCharType="begin"/>
      </w:r>
      <w:r>
        <w:instrText xml:space="preserve"> PAGEREF _Toc22175 \h </w:instrText>
      </w:r>
      <w:r>
        <w:fldChar w:fldCharType="separate"/>
      </w:r>
      <w:r>
        <w:t>- 4 -</w:t>
      </w:r>
      <w:r>
        <w:fldChar w:fldCharType="end"/>
      </w:r>
      <w:r>
        <w:rPr>
          <w:rFonts w:hint="eastAsia" w:ascii="仿宋_GB2312" w:hAnsi="仿宋_GB2312" w:eastAsia="仿宋_GB2312" w:cs="仿宋_GB2312"/>
          <w:color w:val="auto"/>
          <w:szCs w:val="28"/>
          <w:highlight w:val="none"/>
          <w:lang w:val="en-US" w:eastAsia="zh-CN"/>
        </w:rPr>
        <w:fldChar w:fldCharType="end"/>
      </w:r>
    </w:p>
    <w:p w14:paraId="22D6DFB1">
      <w:pPr>
        <w:pStyle w:val="11"/>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_Toc22939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rPr>
        <w:t>第</w:t>
      </w:r>
      <w:r>
        <w:rPr>
          <w:rFonts w:hint="eastAsia" w:ascii="仿宋_GB2312" w:hAnsi="仿宋_GB2312" w:eastAsia="仿宋_GB2312" w:cs="仿宋_GB2312"/>
          <w:bCs/>
          <w:szCs w:val="28"/>
          <w:highlight w:val="none"/>
          <w:lang w:val="en-US" w:eastAsia="zh-CN"/>
        </w:rPr>
        <w:t>二</w:t>
      </w:r>
      <w:r>
        <w:rPr>
          <w:rFonts w:hint="eastAsia" w:ascii="仿宋_GB2312" w:hAnsi="仿宋_GB2312" w:eastAsia="仿宋_GB2312" w:cs="仿宋_GB2312"/>
          <w:bCs/>
          <w:szCs w:val="28"/>
          <w:highlight w:val="none"/>
        </w:rPr>
        <w:t>部分</w:t>
      </w:r>
      <w:r>
        <w:rPr>
          <w:rFonts w:hint="eastAsia" w:ascii="仿宋_GB2312" w:hAnsi="仿宋_GB2312" w:eastAsia="仿宋_GB2312" w:cs="仿宋_GB2312"/>
          <w:bCs/>
          <w:szCs w:val="28"/>
          <w:highlight w:val="none"/>
          <w:lang w:val="en-US" w:eastAsia="zh-CN"/>
        </w:rPr>
        <w:t xml:space="preserve"> 招标需求</w:t>
      </w:r>
      <w:r>
        <w:tab/>
      </w:r>
      <w:r>
        <w:fldChar w:fldCharType="begin"/>
      </w:r>
      <w:r>
        <w:instrText xml:space="preserve"> PAGEREF _Toc22939 \h </w:instrText>
      </w:r>
      <w:r>
        <w:fldChar w:fldCharType="separate"/>
      </w:r>
      <w:r>
        <w:t>- 6 -</w:t>
      </w:r>
      <w:r>
        <w:fldChar w:fldCharType="end"/>
      </w:r>
      <w:r>
        <w:rPr>
          <w:rFonts w:hint="eastAsia" w:ascii="仿宋_GB2312" w:hAnsi="仿宋_GB2312" w:eastAsia="仿宋_GB2312" w:cs="仿宋_GB2312"/>
          <w:color w:val="auto"/>
          <w:szCs w:val="28"/>
          <w:highlight w:val="none"/>
          <w:lang w:val="en-US" w:eastAsia="zh-CN"/>
        </w:rPr>
        <w:fldChar w:fldCharType="end"/>
      </w:r>
    </w:p>
    <w:p w14:paraId="7F2427D2">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_Toc15561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一、</w:t>
      </w:r>
      <w:r>
        <w:rPr>
          <w:rFonts w:hint="eastAsia" w:ascii="仿宋_GB2312" w:hAnsi="仿宋_GB2312" w:eastAsia="仿宋_GB2312" w:cs="仿宋_GB2312"/>
          <w:szCs w:val="28"/>
          <w:highlight w:val="none"/>
        </w:rPr>
        <w:t>采购</w:t>
      </w:r>
      <w:r>
        <w:rPr>
          <w:rFonts w:hint="eastAsia" w:ascii="仿宋_GB2312" w:hAnsi="仿宋_GB2312" w:eastAsia="仿宋_GB2312" w:cs="仿宋_GB2312"/>
          <w:szCs w:val="28"/>
          <w:highlight w:val="none"/>
          <w:lang w:val="en-US" w:eastAsia="zh-CN"/>
        </w:rPr>
        <w:t>要求</w:t>
      </w:r>
      <w:r>
        <w:tab/>
      </w:r>
      <w:r>
        <w:fldChar w:fldCharType="begin"/>
      </w:r>
      <w:r>
        <w:instrText xml:space="preserve"> PAGEREF _Toc15561 \h </w:instrText>
      </w:r>
      <w:r>
        <w:fldChar w:fldCharType="separate"/>
      </w:r>
      <w:r>
        <w:t>- 6 -</w:t>
      </w:r>
      <w:r>
        <w:fldChar w:fldCharType="end"/>
      </w:r>
      <w:r>
        <w:rPr>
          <w:rFonts w:hint="eastAsia" w:ascii="仿宋_GB2312" w:hAnsi="仿宋_GB2312" w:eastAsia="仿宋_GB2312" w:cs="仿宋_GB2312"/>
          <w:color w:val="auto"/>
          <w:szCs w:val="28"/>
          <w:highlight w:val="none"/>
          <w:lang w:val="en-US" w:eastAsia="zh-CN"/>
        </w:rPr>
        <w:fldChar w:fldCharType="end"/>
      </w:r>
    </w:p>
    <w:p w14:paraId="09ACB6C0">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_Toc11531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二、实施要求</w:t>
      </w:r>
      <w:r>
        <w:tab/>
      </w:r>
      <w:r>
        <w:fldChar w:fldCharType="begin"/>
      </w:r>
      <w:r>
        <w:instrText xml:space="preserve"> PAGEREF _Toc11531 \h </w:instrText>
      </w:r>
      <w:r>
        <w:fldChar w:fldCharType="separate"/>
      </w:r>
      <w:r>
        <w:t>- 7 -</w:t>
      </w:r>
      <w:r>
        <w:fldChar w:fldCharType="end"/>
      </w:r>
      <w:r>
        <w:rPr>
          <w:rFonts w:hint="eastAsia" w:ascii="仿宋_GB2312" w:hAnsi="仿宋_GB2312" w:eastAsia="仿宋_GB2312" w:cs="仿宋_GB2312"/>
          <w:color w:val="auto"/>
          <w:szCs w:val="28"/>
          <w:highlight w:val="none"/>
          <w:lang w:val="en-US" w:eastAsia="zh-CN"/>
        </w:rPr>
        <w:fldChar w:fldCharType="end"/>
      </w:r>
    </w:p>
    <w:p w14:paraId="52E72F5F">
      <w:pPr>
        <w:pStyle w:val="11"/>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_Toc13396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rPr>
        <w:t>第</w:t>
      </w:r>
      <w:r>
        <w:rPr>
          <w:rFonts w:hint="eastAsia" w:ascii="仿宋_GB2312" w:hAnsi="仿宋_GB2312" w:eastAsia="仿宋_GB2312" w:cs="仿宋_GB2312"/>
          <w:bCs/>
          <w:szCs w:val="28"/>
          <w:highlight w:val="none"/>
          <w:lang w:val="en-US" w:eastAsia="zh-CN"/>
        </w:rPr>
        <w:t>三</w:t>
      </w:r>
      <w:r>
        <w:rPr>
          <w:rFonts w:hint="eastAsia" w:ascii="仿宋_GB2312" w:hAnsi="仿宋_GB2312" w:eastAsia="仿宋_GB2312" w:cs="仿宋_GB2312"/>
          <w:bCs/>
          <w:szCs w:val="28"/>
          <w:highlight w:val="none"/>
        </w:rPr>
        <w:t>部分</w:t>
      </w:r>
      <w:r>
        <w:rPr>
          <w:rFonts w:hint="eastAsia" w:ascii="仿宋_GB2312" w:hAnsi="仿宋_GB2312" w:eastAsia="仿宋_GB2312" w:cs="仿宋_GB2312"/>
          <w:bCs/>
          <w:szCs w:val="28"/>
          <w:highlight w:val="none"/>
          <w:lang w:val="en-US" w:eastAsia="zh-CN"/>
        </w:rPr>
        <w:t xml:space="preserve"> 投标人</w:t>
      </w:r>
      <w:r>
        <w:rPr>
          <w:rFonts w:hint="eastAsia" w:ascii="仿宋_GB2312" w:hAnsi="仿宋_GB2312" w:eastAsia="仿宋_GB2312" w:cs="仿宋_GB2312"/>
          <w:bCs/>
          <w:szCs w:val="28"/>
          <w:highlight w:val="none"/>
        </w:rPr>
        <w:t>须知</w:t>
      </w:r>
      <w:r>
        <w:tab/>
      </w:r>
      <w:r>
        <w:fldChar w:fldCharType="begin"/>
      </w:r>
      <w:r>
        <w:instrText xml:space="preserve"> PAGEREF _Toc13396 \h </w:instrText>
      </w:r>
      <w:r>
        <w:fldChar w:fldCharType="separate"/>
      </w:r>
      <w:r>
        <w:t>- 8 -</w:t>
      </w:r>
      <w:r>
        <w:fldChar w:fldCharType="end"/>
      </w:r>
      <w:r>
        <w:rPr>
          <w:rFonts w:hint="eastAsia" w:ascii="仿宋_GB2312" w:hAnsi="仿宋_GB2312" w:eastAsia="仿宋_GB2312" w:cs="仿宋_GB2312"/>
          <w:color w:val="auto"/>
          <w:szCs w:val="28"/>
          <w:highlight w:val="none"/>
          <w:lang w:val="en-US" w:eastAsia="zh-CN"/>
        </w:rPr>
        <w:fldChar w:fldCharType="end"/>
      </w:r>
    </w:p>
    <w:p w14:paraId="2FBF642C">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_Toc26106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rPr>
        <w:t>一、总则</w:t>
      </w:r>
      <w:r>
        <w:tab/>
      </w:r>
      <w:r>
        <w:fldChar w:fldCharType="begin"/>
      </w:r>
      <w:r>
        <w:instrText xml:space="preserve"> PAGEREF _Toc26106 \h </w:instrText>
      </w:r>
      <w:r>
        <w:fldChar w:fldCharType="separate"/>
      </w:r>
      <w:r>
        <w:t>- 8 -</w:t>
      </w:r>
      <w:r>
        <w:fldChar w:fldCharType="end"/>
      </w:r>
      <w:r>
        <w:rPr>
          <w:rFonts w:hint="eastAsia" w:ascii="仿宋_GB2312" w:hAnsi="仿宋_GB2312" w:eastAsia="仿宋_GB2312" w:cs="仿宋_GB2312"/>
          <w:color w:val="auto"/>
          <w:szCs w:val="28"/>
          <w:highlight w:val="none"/>
          <w:lang w:val="en-US" w:eastAsia="zh-CN"/>
        </w:rPr>
        <w:fldChar w:fldCharType="end"/>
      </w:r>
    </w:p>
    <w:p w14:paraId="673858F2">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_Toc19321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rPr>
        <w:t>二、采购文件</w:t>
      </w:r>
      <w:r>
        <w:tab/>
      </w:r>
      <w:r>
        <w:fldChar w:fldCharType="begin"/>
      </w:r>
      <w:r>
        <w:instrText xml:space="preserve"> PAGEREF _Toc19321 \h </w:instrText>
      </w:r>
      <w:r>
        <w:fldChar w:fldCharType="separate"/>
      </w:r>
      <w:r>
        <w:t>- 8 -</w:t>
      </w:r>
      <w:r>
        <w:fldChar w:fldCharType="end"/>
      </w:r>
      <w:r>
        <w:rPr>
          <w:rFonts w:hint="eastAsia" w:ascii="仿宋_GB2312" w:hAnsi="仿宋_GB2312" w:eastAsia="仿宋_GB2312" w:cs="仿宋_GB2312"/>
          <w:color w:val="auto"/>
          <w:szCs w:val="28"/>
          <w:highlight w:val="none"/>
          <w:lang w:val="en-US" w:eastAsia="zh-CN"/>
        </w:rPr>
        <w:fldChar w:fldCharType="end"/>
      </w:r>
    </w:p>
    <w:p w14:paraId="6CDA81D6">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_Toc30934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rPr>
        <w:t>三、报价文件的编写</w:t>
      </w:r>
      <w:r>
        <w:tab/>
      </w:r>
      <w:r>
        <w:fldChar w:fldCharType="begin"/>
      </w:r>
      <w:r>
        <w:instrText xml:space="preserve"> PAGEREF _Toc30934 \h </w:instrText>
      </w:r>
      <w:r>
        <w:fldChar w:fldCharType="separate"/>
      </w:r>
      <w:r>
        <w:t>- 9 -</w:t>
      </w:r>
      <w:r>
        <w:fldChar w:fldCharType="end"/>
      </w:r>
      <w:r>
        <w:rPr>
          <w:rFonts w:hint="eastAsia" w:ascii="仿宋_GB2312" w:hAnsi="仿宋_GB2312" w:eastAsia="仿宋_GB2312" w:cs="仿宋_GB2312"/>
          <w:color w:val="auto"/>
          <w:szCs w:val="28"/>
          <w:highlight w:val="none"/>
          <w:lang w:val="en-US" w:eastAsia="zh-CN"/>
        </w:rPr>
        <w:fldChar w:fldCharType="end"/>
      </w:r>
    </w:p>
    <w:p w14:paraId="259773A1">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_Toc12191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四、知识产权</w:t>
      </w:r>
      <w:r>
        <w:tab/>
      </w:r>
      <w:r>
        <w:fldChar w:fldCharType="begin"/>
      </w:r>
      <w:r>
        <w:instrText xml:space="preserve"> PAGEREF _Toc12191 \h </w:instrText>
      </w:r>
      <w:r>
        <w:fldChar w:fldCharType="separate"/>
      </w:r>
      <w:r>
        <w:t>- 10 -</w:t>
      </w:r>
      <w:r>
        <w:fldChar w:fldCharType="end"/>
      </w:r>
      <w:r>
        <w:rPr>
          <w:rFonts w:hint="eastAsia" w:ascii="仿宋_GB2312" w:hAnsi="仿宋_GB2312" w:eastAsia="仿宋_GB2312" w:cs="仿宋_GB2312"/>
          <w:color w:val="auto"/>
          <w:szCs w:val="28"/>
          <w:highlight w:val="none"/>
          <w:lang w:val="en-US" w:eastAsia="zh-CN"/>
        </w:rPr>
        <w:fldChar w:fldCharType="end"/>
      </w:r>
    </w:p>
    <w:p w14:paraId="09541963">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_Toc1371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五</w:t>
      </w:r>
      <w:r>
        <w:rPr>
          <w:rFonts w:hint="eastAsia" w:ascii="仿宋_GB2312" w:hAnsi="仿宋_GB2312" w:eastAsia="仿宋_GB2312" w:cs="仿宋_GB2312"/>
          <w:szCs w:val="28"/>
          <w:highlight w:val="none"/>
        </w:rPr>
        <w:t>、</w:t>
      </w:r>
      <w:r>
        <w:rPr>
          <w:rFonts w:hint="eastAsia" w:ascii="仿宋_GB2312" w:hAnsi="仿宋_GB2312" w:eastAsia="仿宋_GB2312" w:cs="仿宋_GB2312"/>
          <w:szCs w:val="28"/>
          <w:highlight w:val="none"/>
          <w:lang w:val="en-US" w:eastAsia="zh-CN"/>
        </w:rPr>
        <w:t>投标</w:t>
      </w:r>
      <w:r>
        <w:rPr>
          <w:rFonts w:hint="eastAsia" w:ascii="仿宋_GB2312" w:hAnsi="仿宋_GB2312" w:eastAsia="仿宋_GB2312" w:cs="仿宋_GB2312"/>
          <w:szCs w:val="28"/>
          <w:highlight w:val="none"/>
        </w:rPr>
        <w:t>文件的递交</w:t>
      </w:r>
      <w:r>
        <w:tab/>
      </w:r>
      <w:r>
        <w:fldChar w:fldCharType="begin"/>
      </w:r>
      <w:r>
        <w:instrText xml:space="preserve"> PAGEREF _Toc1371 \h </w:instrText>
      </w:r>
      <w:r>
        <w:fldChar w:fldCharType="separate"/>
      </w:r>
      <w:r>
        <w:t>- 10 -</w:t>
      </w:r>
      <w:r>
        <w:fldChar w:fldCharType="end"/>
      </w:r>
      <w:r>
        <w:rPr>
          <w:rFonts w:hint="eastAsia" w:ascii="仿宋_GB2312" w:hAnsi="仿宋_GB2312" w:eastAsia="仿宋_GB2312" w:cs="仿宋_GB2312"/>
          <w:color w:val="auto"/>
          <w:szCs w:val="28"/>
          <w:highlight w:val="none"/>
          <w:lang w:val="en-US" w:eastAsia="zh-CN"/>
        </w:rPr>
        <w:fldChar w:fldCharType="end"/>
      </w:r>
    </w:p>
    <w:p w14:paraId="49FFE5C0">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_Toc3985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六</w:t>
      </w:r>
      <w:r>
        <w:rPr>
          <w:rFonts w:hint="eastAsia" w:ascii="仿宋_GB2312" w:hAnsi="仿宋_GB2312" w:eastAsia="仿宋_GB2312" w:cs="仿宋_GB2312"/>
          <w:szCs w:val="28"/>
          <w:highlight w:val="none"/>
        </w:rPr>
        <w:t>、推荐成交候选人</w:t>
      </w:r>
      <w:r>
        <w:tab/>
      </w:r>
      <w:r>
        <w:fldChar w:fldCharType="begin"/>
      </w:r>
      <w:r>
        <w:instrText xml:space="preserve"> PAGEREF _Toc3985 \h </w:instrText>
      </w:r>
      <w:r>
        <w:fldChar w:fldCharType="separate"/>
      </w:r>
      <w:r>
        <w:t>- 11 -</w:t>
      </w:r>
      <w:r>
        <w:fldChar w:fldCharType="end"/>
      </w:r>
      <w:r>
        <w:rPr>
          <w:rFonts w:hint="eastAsia" w:ascii="仿宋_GB2312" w:hAnsi="仿宋_GB2312" w:eastAsia="仿宋_GB2312" w:cs="仿宋_GB2312"/>
          <w:color w:val="auto"/>
          <w:szCs w:val="28"/>
          <w:highlight w:val="none"/>
          <w:lang w:val="en-US" w:eastAsia="zh-CN"/>
        </w:rPr>
        <w:fldChar w:fldCharType="end"/>
      </w:r>
    </w:p>
    <w:p w14:paraId="54746841">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_Toc18514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val="0"/>
          <w:szCs w:val="28"/>
          <w:highlight w:val="none"/>
          <w:lang w:val="en-US" w:eastAsia="zh-CN"/>
        </w:rPr>
        <w:t>七、</w:t>
      </w:r>
      <w:r>
        <w:rPr>
          <w:rFonts w:hint="eastAsia" w:ascii="仿宋_GB2312" w:hAnsi="仿宋_GB2312" w:eastAsia="仿宋_GB2312" w:cs="仿宋_GB2312"/>
          <w:bCs w:val="0"/>
          <w:szCs w:val="28"/>
          <w:highlight w:val="none"/>
        </w:rPr>
        <w:t>确定成交人</w:t>
      </w:r>
      <w:r>
        <w:tab/>
      </w:r>
      <w:r>
        <w:fldChar w:fldCharType="begin"/>
      </w:r>
      <w:r>
        <w:instrText xml:space="preserve"> PAGEREF _Toc18514 \h </w:instrText>
      </w:r>
      <w:r>
        <w:fldChar w:fldCharType="separate"/>
      </w:r>
      <w:r>
        <w:t>- 11 -</w:t>
      </w:r>
      <w:r>
        <w:fldChar w:fldCharType="end"/>
      </w:r>
      <w:r>
        <w:rPr>
          <w:rFonts w:hint="eastAsia" w:ascii="仿宋_GB2312" w:hAnsi="仿宋_GB2312" w:eastAsia="仿宋_GB2312" w:cs="仿宋_GB2312"/>
          <w:color w:val="auto"/>
          <w:szCs w:val="28"/>
          <w:highlight w:val="none"/>
          <w:lang w:val="en-US" w:eastAsia="zh-CN"/>
        </w:rPr>
        <w:fldChar w:fldCharType="end"/>
      </w:r>
    </w:p>
    <w:p w14:paraId="63012ED9">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_Toc30168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八</w:t>
      </w:r>
      <w:r>
        <w:rPr>
          <w:rFonts w:hint="eastAsia" w:ascii="仿宋_GB2312" w:hAnsi="仿宋_GB2312" w:eastAsia="仿宋_GB2312" w:cs="仿宋_GB2312"/>
          <w:szCs w:val="28"/>
          <w:highlight w:val="none"/>
        </w:rPr>
        <w:t>、中选通知</w:t>
      </w:r>
      <w:r>
        <w:tab/>
      </w:r>
      <w:r>
        <w:fldChar w:fldCharType="begin"/>
      </w:r>
      <w:r>
        <w:instrText xml:space="preserve"> PAGEREF _Toc30168 \h </w:instrText>
      </w:r>
      <w:r>
        <w:fldChar w:fldCharType="separate"/>
      </w:r>
      <w:r>
        <w:t>- 11 -</w:t>
      </w:r>
      <w:r>
        <w:fldChar w:fldCharType="end"/>
      </w:r>
      <w:r>
        <w:rPr>
          <w:rFonts w:hint="eastAsia" w:ascii="仿宋_GB2312" w:hAnsi="仿宋_GB2312" w:eastAsia="仿宋_GB2312" w:cs="仿宋_GB2312"/>
          <w:color w:val="auto"/>
          <w:szCs w:val="28"/>
          <w:highlight w:val="none"/>
          <w:lang w:val="en-US" w:eastAsia="zh-CN"/>
        </w:rPr>
        <w:fldChar w:fldCharType="end"/>
      </w:r>
    </w:p>
    <w:p w14:paraId="619C1BC6">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_Toc15579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九、合同签订与供货</w:t>
      </w:r>
      <w:r>
        <w:tab/>
      </w:r>
      <w:r>
        <w:fldChar w:fldCharType="begin"/>
      </w:r>
      <w:r>
        <w:instrText xml:space="preserve"> PAGEREF _Toc15579 \h </w:instrText>
      </w:r>
      <w:r>
        <w:fldChar w:fldCharType="separate"/>
      </w:r>
      <w:r>
        <w:t>- 11 -</w:t>
      </w:r>
      <w:r>
        <w:fldChar w:fldCharType="end"/>
      </w:r>
      <w:r>
        <w:rPr>
          <w:rFonts w:hint="eastAsia" w:ascii="仿宋_GB2312" w:hAnsi="仿宋_GB2312" w:eastAsia="仿宋_GB2312" w:cs="仿宋_GB2312"/>
          <w:color w:val="auto"/>
          <w:szCs w:val="28"/>
          <w:highlight w:val="none"/>
          <w:lang w:val="en-US" w:eastAsia="zh-CN"/>
        </w:rPr>
        <w:fldChar w:fldCharType="end"/>
      </w:r>
    </w:p>
    <w:p w14:paraId="1E9A695A">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_Toc13378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十、</w:t>
      </w:r>
      <w:r>
        <w:rPr>
          <w:rFonts w:hint="eastAsia" w:ascii="仿宋_GB2312" w:hAnsi="仿宋_GB2312" w:eastAsia="仿宋_GB2312" w:cs="仿宋_GB2312"/>
          <w:bCs/>
          <w:szCs w:val="28"/>
          <w:highlight w:val="none"/>
        </w:rPr>
        <w:t>评审因素及分值一览表</w:t>
      </w:r>
      <w:r>
        <w:tab/>
      </w:r>
      <w:r>
        <w:fldChar w:fldCharType="begin"/>
      </w:r>
      <w:r>
        <w:instrText xml:space="preserve"> PAGEREF _Toc13378 \h </w:instrText>
      </w:r>
      <w:r>
        <w:fldChar w:fldCharType="separate"/>
      </w:r>
      <w:r>
        <w:t>- 12 -</w:t>
      </w:r>
      <w:r>
        <w:fldChar w:fldCharType="end"/>
      </w:r>
      <w:r>
        <w:rPr>
          <w:rFonts w:hint="eastAsia" w:ascii="仿宋_GB2312" w:hAnsi="仿宋_GB2312" w:eastAsia="仿宋_GB2312" w:cs="仿宋_GB2312"/>
          <w:color w:val="auto"/>
          <w:szCs w:val="28"/>
          <w:highlight w:val="none"/>
          <w:lang w:val="en-US" w:eastAsia="zh-CN"/>
        </w:rPr>
        <w:fldChar w:fldCharType="end"/>
      </w:r>
    </w:p>
    <w:p w14:paraId="7523D95E">
      <w:pPr>
        <w:pStyle w:val="11"/>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_Toc18376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 xml:space="preserve">第四部分 </w:t>
      </w:r>
      <w:r>
        <w:rPr>
          <w:rFonts w:hint="eastAsia" w:ascii="仿宋_GB2312" w:hAnsi="仿宋_GB2312" w:eastAsia="仿宋_GB2312" w:cs="仿宋_GB2312"/>
          <w:bCs/>
          <w:szCs w:val="28"/>
          <w:highlight w:val="none"/>
        </w:rPr>
        <w:t>投标文件</w:t>
      </w:r>
      <w:r>
        <w:rPr>
          <w:rFonts w:hint="eastAsia" w:ascii="仿宋_GB2312" w:hAnsi="仿宋_GB2312" w:eastAsia="仿宋_GB2312" w:cs="仿宋_GB2312"/>
          <w:bCs/>
          <w:szCs w:val="28"/>
          <w:highlight w:val="none"/>
          <w:lang w:val="en-US" w:eastAsia="zh-CN"/>
        </w:rPr>
        <w:t>格式</w:t>
      </w:r>
      <w:r>
        <w:rPr>
          <w:rFonts w:hint="eastAsia" w:ascii="仿宋_GB2312" w:hAnsi="仿宋_GB2312" w:eastAsia="仿宋_GB2312" w:cs="仿宋_GB2312"/>
          <w:bCs/>
          <w:szCs w:val="28"/>
          <w:highlight w:val="none"/>
        </w:rPr>
        <w:t>装订顺序</w:t>
      </w:r>
      <w:r>
        <w:tab/>
      </w:r>
      <w:r>
        <w:fldChar w:fldCharType="begin"/>
      </w:r>
      <w:r>
        <w:instrText xml:space="preserve"> PAGEREF _Toc18376 \h </w:instrText>
      </w:r>
      <w:r>
        <w:fldChar w:fldCharType="separate"/>
      </w:r>
      <w:r>
        <w:t>- 15 -</w:t>
      </w:r>
      <w:r>
        <w:fldChar w:fldCharType="end"/>
      </w:r>
      <w:r>
        <w:rPr>
          <w:rFonts w:hint="eastAsia" w:ascii="仿宋_GB2312" w:hAnsi="仿宋_GB2312" w:eastAsia="仿宋_GB2312" w:cs="仿宋_GB2312"/>
          <w:color w:val="auto"/>
          <w:szCs w:val="28"/>
          <w:highlight w:val="none"/>
          <w:lang w:val="en-US" w:eastAsia="zh-CN"/>
        </w:rPr>
        <w:fldChar w:fldCharType="end"/>
      </w:r>
    </w:p>
    <w:p w14:paraId="6E059BBF">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_Toc3031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val="0"/>
          <w:szCs w:val="28"/>
          <w:highlight w:val="none"/>
          <w:lang w:val="en-US" w:eastAsia="zh-CN"/>
        </w:rPr>
        <w:t>一、投标人企业资</w:t>
      </w:r>
      <w:r>
        <w:rPr>
          <w:rFonts w:hint="eastAsia" w:ascii="仿宋_GB2312" w:hAnsi="仿宋_GB2312" w:eastAsia="仿宋_GB2312" w:cs="仿宋_GB2312"/>
          <w:szCs w:val="28"/>
          <w:highlight w:val="none"/>
        </w:rPr>
        <w:t>信</w:t>
      </w:r>
      <w:r>
        <w:tab/>
      </w:r>
      <w:r>
        <w:fldChar w:fldCharType="begin"/>
      </w:r>
      <w:r>
        <w:instrText xml:space="preserve"> PAGEREF _Toc3031 \h </w:instrText>
      </w:r>
      <w:r>
        <w:fldChar w:fldCharType="separate"/>
      </w:r>
      <w:r>
        <w:t>- 15 -</w:t>
      </w:r>
      <w:r>
        <w:fldChar w:fldCharType="end"/>
      </w:r>
      <w:r>
        <w:rPr>
          <w:rFonts w:hint="eastAsia" w:ascii="仿宋_GB2312" w:hAnsi="仿宋_GB2312" w:eastAsia="仿宋_GB2312" w:cs="仿宋_GB2312"/>
          <w:color w:val="auto"/>
          <w:szCs w:val="28"/>
          <w:highlight w:val="none"/>
          <w:lang w:val="en-US" w:eastAsia="zh-CN"/>
        </w:rPr>
        <w:fldChar w:fldCharType="end"/>
      </w:r>
    </w:p>
    <w:p w14:paraId="0FD89DDB">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_Toc22560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szCs w:val="28"/>
          <w:highlight w:val="none"/>
          <w:lang w:val="en-US" w:eastAsia="zh-CN"/>
        </w:rPr>
        <w:t>二、投标人报价、</w:t>
      </w:r>
      <w:r>
        <w:rPr>
          <w:rFonts w:hint="eastAsia" w:ascii="仿宋_GB2312" w:hAnsi="仿宋_GB2312" w:eastAsia="仿宋_GB2312" w:cs="仿宋_GB2312"/>
          <w:bCs w:val="0"/>
          <w:szCs w:val="28"/>
          <w:highlight w:val="none"/>
          <w:lang w:val="en-US" w:eastAsia="zh-CN"/>
        </w:rPr>
        <w:t>技术参数及要求、</w:t>
      </w:r>
      <w:r>
        <w:rPr>
          <w:rFonts w:hint="eastAsia" w:ascii="仿宋_GB2312" w:hAnsi="仿宋_GB2312" w:eastAsia="仿宋_GB2312" w:cs="仿宋_GB2312"/>
          <w:szCs w:val="28"/>
          <w:highlight w:val="none"/>
          <w:lang w:val="en-US" w:eastAsia="zh-CN"/>
        </w:rPr>
        <w:t>委托书、承诺书等</w:t>
      </w:r>
      <w:r>
        <w:tab/>
      </w:r>
      <w:r>
        <w:fldChar w:fldCharType="begin"/>
      </w:r>
      <w:r>
        <w:instrText xml:space="preserve"> PAGEREF _Toc22560 \h </w:instrText>
      </w:r>
      <w:r>
        <w:fldChar w:fldCharType="separate"/>
      </w:r>
      <w:r>
        <w:t>- 15 -</w:t>
      </w:r>
      <w:r>
        <w:fldChar w:fldCharType="end"/>
      </w:r>
      <w:r>
        <w:rPr>
          <w:rFonts w:hint="eastAsia" w:ascii="仿宋_GB2312" w:hAnsi="仿宋_GB2312" w:eastAsia="仿宋_GB2312" w:cs="仿宋_GB2312"/>
          <w:color w:val="auto"/>
          <w:szCs w:val="28"/>
          <w:highlight w:val="none"/>
          <w:lang w:val="en-US" w:eastAsia="zh-CN"/>
        </w:rPr>
        <w:fldChar w:fldCharType="end"/>
      </w:r>
    </w:p>
    <w:p w14:paraId="27E323DF">
      <w:pPr>
        <w:pStyle w:val="11"/>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_Toc15190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第五部分 相关文件格式</w:t>
      </w:r>
      <w:r>
        <w:tab/>
      </w:r>
      <w:r>
        <w:fldChar w:fldCharType="begin"/>
      </w:r>
      <w:r>
        <w:instrText xml:space="preserve"> PAGEREF _Toc15190 \h </w:instrText>
      </w:r>
      <w:r>
        <w:fldChar w:fldCharType="separate"/>
      </w:r>
      <w:r>
        <w:t>- 16 -</w:t>
      </w:r>
      <w:r>
        <w:fldChar w:fldCharType="end"/>
      </w:r>
      <w:r>
        <w:rPr>
          <w:rFonts w:hint="eastAsia" w:ascii="仿宋_GB2312" w:hAnsi="仿宋_GB2312" w:eastAsia="仿宋_GB2312" w:cs="仿宋_GB2312"/>
          <w:color w:val="auto"/>
          <w:szCs w:val="28"/>
          <w:highlight w:val="none"/>
          <w:lang w:val="en-US" w:eastAsia="zh-CN"/>
        </w:rPr>
        <w:fldChar w:fldCharType="end"/>
      </w:r>
    </w:p>
    <w:p w14:paraId="64F61475">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_Toc17719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一、资格审查资料</w:t>
      </w:r>
      <w:r>
        <w:tab/>
      </w:r>
      <w:r>
        <w:fldChar w:fldCharType="begin"/>
      </w:r>
      <w:r>
        <w:instrText xml:space="preserve"> PAGEREF _Toc17719 \h </w:instrText>
      </w:r>
      <w:r>
        <w:fldChar w:fldCharType="separate"/>
      </w:r>
      <w:r>
        <w:t>- 17 -</w:t>
      </w:r>
      <w:r>
        <w:fldChar w:fldCharType="end"/>
      </w:r>
      <w:r>
        <w:rPr>
          <w:rFonts w:hint="eastAsia" w:ascii="仿宋_GB2312" w:hAnsi="仿宋_GB2312" w:eastAsia="仿宋_GB2312" w:cs="仿宋_GB2312"/>
          <w:color w:val="auto"/>
          <w:szCs w:val="28"/>
          <w:highlight w:val="none"/>
          <w:lang w:val="en-US" w:eastAsia="zh-CN"/>
        </w:rPr>
        <w:fldChar w:fldCharType="end"/>
      </w:r>
    </w:p>
    <w:p w14:paraId="75C97EC1">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_Toc10747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二、采购响应函</w:t>
      </w:r>
      <w:r>
        <w:tab/>
      </w:r>
      <w:r>
        <w:fldChar w:fldCharType="begin"/>
      </w:r>
      <w:r>
        <w:instrText xml:space="preserve"> PAGEREF _Toc10747 \h </w:instrText>
      </w:r>
      <w:r>
        <w:fldChar w:fldCharType="separate"/>
      </w:r>
      <w:r>
        <w:t>- 18 -</w:t>
      </w:r>
      <w:r>
        <w:fldChar w:fldCharType="end"/>
      </w:r>
      <w:r>
        <w:rPr>
          <w:rFonts w:hint="eastAsia" w:ascii="仿宋_GB2312" w:hAnsi="仿宋_GB2312" w:eastAsia="仿宋_GB2312" w:cs="仿宋_GB2312"/>
          <w:color w:val="auto"/>
          <w:szCs w:val="28"/>
          <w:highlight w:val="none"/>
          <w:lang w:val="en-US" w:eastAsia="zh-CN"/>
        </w:rPr>
        <w:fldChar w:fldCharType="end"/>
      </w:r>
    </w:p>
    <w:p w14:paraId="27308E98">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_Toc23974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三、报价表</w:t>
      </w:r>
      <w:r>
        <w:tab/>
      </w:r>
      <w:r>
        <w:fldChar w:fldCharType="begin"/>
      </w:r>
      <w:r>
        <w:instrText xml:space="preserve"> PAGEREF _Toc23974 \h </w:instrText>
      </w:r>
      <w:r>
        <w:fldChar w:fldCharType="separate"/>
      </w:r>
      <w:r>
        <w:t>- 20 -</w:t>
      </w:r>
      <w:r>
        <w:fldChar w:fldCharType="end"/>
      </w:r>
      <w:r>
        <w:rPr>
          <w:rFonts w:hint="eastAsia" w:ascii="仿宋_GB2312" w:hAnsi="仿宋_GB2312" w:eastAsia="仿宋_GB2312" w:cs="仿宋_GB2312"/>
          <w:color w:val="auto"/>
          <w:szCs w:val="28"/>
          <w:highlight w:val="none"/>
          <w:lang w:val="en-US" w:eastAsia="zh-CN"/>
        </w:rPr>
        <w:fldChar w:fldCharType="end"/>
      </w:r>
    </w:p>
    <w:p w14:paraId="74FB60FD">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_Toc8499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四、技术参数及要求响应偏离表</w:t>
      </w:r>
      <w:r>
        <w:tab/>
      </w:r>
      <w:r>
        <w:fldChar w:fldCharType="begin"/>
      </w:r>
      <w:r>
        <w:instrText xml:space="preserve"> PAGEREF _Toc8499 \h </w:instrText>
      </w:r>
      <w:r>
        <w:fldChar w:fldCharType="separate"/>
      </w:r>
      <w:r>
        <w:t>- 21 -</w:t>
      </w:r>
      <w:r>
        <w:fldChar w:fldCharType="end"/>
      </w:r>
      <w:r>
        <w:rPr>
          <w:rFonts w:hint="eastAsia" w:ascii="仿宋_GB2312" w:hAnsi="仿宋_GB2312" w:eastAsia="仿宋_GB2312" w:cs="仿宋_GB2312"/>
          <w:color w:val="auto"/>
          <w:szCs w:val="28"/>
          <w:highlight w:val="none"/>
          <w:lang w:val="en-US" w:eastAsia="zh-CN"/>
        </w:rPr>
        <w:fldChar w:fldCharType="end"/>
      </w:r>
    </w:p>
    <w:p w14:paraId="6EDA9644">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_Toc28052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五、法定代表人（单位负责人）身份证明</w:t>
      </w:r>
      <w:r>
        <w:tab/>
      </w:r>
      <w:r>
        <w:fldChar w:fldCharType="begin"/>
      </w:r>
      <w:r>
        <w:instrText xml:space="preserve"> PAGEREF _Toc28052 \h </w:instrText>
      </w:r>
      <w:r>
        <w:fldChar w:fldCharType="separate"/>
      </w:r>
      <w:r>
        <w:t>- 22 -</w:t>
      </w:r>
      <w:r>
        <w:fldChar w:fldCharType="end"/>
      </w:r>
      <w:r>
        <w:rPr>
          <w:rFonts w:hint="eastAsia" w:ascii="仿宋_GB2312" w:hAnsi="仿宋_GB2312" w:eastAsia="仿宋_GB2312" w:cs="仿宋_GB2312"/>
          <w:color w:val="auto"/>
          <w:szCs w:val="28"/>
          <w:highlight w:val="none"/>
          <w:lang w:val="en-US" w:eastAsia="zh-CN"/>
        </w:rPr>
        <w:fldChar w:fldCharType="end"/>
      </w:r>
    </w:p>
    <w:p w14:paraId="65A197A8">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_Toc27461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六、授权委托书</w:t>
      </w:r>
      <w:r>
        <w:tab/>
      </w:r>
      <w:r>
        <w:fldChar w:fldCharType="begin"/>
      </w:r>
      <w:r>
        <w:instrText xml:space="preserve"> PAGEREF _Toc27461 \h </w:instrText>
      </w:r>
      <w:r>
        <w:fldChar w:fldCharType="separate"/>
      </w:r>
      <w:r>
        <w:t>- 23 -</w:t>
      </w:r>
      <w:r>
        <w:fldChar w:fldCharType="end"/>
      </w:r>
      <w:r>
        <w:rPr>
          <w:rFonts w:hint="eastAsia" w:ascii="仿宋_GB2312" w:hAnsi="仿宋_GB2312" w:eastAsia="仿宋_GB2312" w:cs="仿宋_GB2312"/>
          <w:color w:val="auto"/>
          <w:szCs w:val="28"/>
          <w:highlight w:val="none"/>
          <w:lang w:val="en-US" w:eastAsia="zh-CN"/>
        </w:rPr>
        <w:fldChar w:fldCharType="end"/>
      </w:r>
    </w:p>
    <w:p w14:paraId="18B52550">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_Toc4582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七、投标</w:t>
      </w:r>
      <w:r>
        <w:rPr>
          <w:rFonts w:hint="eastAsia" w:ascii="仿宋_GB2312" w:hAnsi="仿宋_GB2312" w:eastAsia="仿宋_GB2312" w:cs="仿宋_GB2312"/>
          <w:bCs/>
          <w:szCs w:val="28"/>
          <w:highlight w:val="none"/>
          <w:lang w:val="zh-CN" w:eastAsia="zh-CN"/>
        </w:rPr>
        <w:t>承诺</w:t>
      </w:r>
      <w:r>
        <w:rPr>
          <w:rFonts w:hint="eastAsia" w:ascii="仿宋_GB2312" w:hAnsi="仿宋_GB2312" w:eastAsia="仿宋_GB2312" w:cs="仿宋_GB2312"/>
          <w:bCs/>
          <w:szCs w:val="28"/>
          <w:highlight w:val="none"/>
          <w:lang w:val="en-US" w:eastAsia="zh-CN"/>
        </w:rPr>
        <w:t>书</w:t>
      </w:r>
      <w:r>
        <w:tab/>
      </w:r>
      <w:r>
        <w:fldChar w:fldCharType="begin"/>
      </w:r>
      <w:r>
        <w:instrText xml:space="preserve"> PAGEREF _Toc4582 \h </w:instrText>
      </w:r>
      <w:r>
        <w:fldChar w:fldCharType="separate"/>
      </w:r>
      <w:r>
        <w:t>- 25 -</w:t>
      </w:r>
      <w:r>
        <w:fldChar w:fldCharType="end"/>
      </w:r>
      <w:r>
        <w:rPr>
          <w:rFonts w:hint="eastAsia" w:ascii="仿宋_GB2312" w:hAnsi="仿宋_GB2312" w:eastAsia="仿宋_GB2312" w:cs="仿宋_GB2312"/>
          <w:color w:val="auto"/>
          <w:szCs w:val="28"/>
          <w:highlight w:val="none"/>
          <w:lang w:val="en-US" w:eastAsia="zh-CN"/>
        </w:rPr>
        <w:fldChar w:fldCharType="end"/>
      </w:r>
    </w:p>
    <w:p w14:paraId="377D798F">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_Toc9818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八、投标人信用承诺</w:t>
      </w:r>
      <w:r>
        <w:tab/>
      </w:r>
      <w:r>
        <w:fldChar w:fldCharType="begin"/>
      </w:r>
      <w:r>
        <w:instrText xml:space="preserve"> PAGEREF _Toc9818 \h </w:instrText>
      </w:r>
      <w:r>
        <w:fldChar w:fldCharType="separate"/>
      </w:r>
      <w:r>
        <w:t>- 26 -</w:t>
      </w:r>
      <w:r>
        <w:fldChar w:fldCharType="end"/>
      </w:r>
      <w:r>
        <w:rPr>
          <w:rFonts w:hint="eastAsia" w:ascii="仿宋_GB2312" w:hAnsi="仿宋_GB2312" w:eastAsia="仿宋_GB2312" w:cs="仿宋_GB2312"/>
          <w:color w:val="auto"/>
          <w:szCs w:val="28"/>
          <w:highlight w:val="none"/>
          <w:lang w:val="en-US" w:eastAsia="zh-CN"/>
        </w:rPr>
        <w:fldChar w:fldCharType="end"/>
      </w:r>
    </w:p>
    <w:p w14:paraId="41287E80">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_Toc22954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九、供应商廉洁承诺书</w:t>
      </w:r>
      <w:r>
        <w:tab/>
      </w:r>
      <w:r>
        <w:fldChar w:fldCharType="begin"/>
      </w:r>
      <w:r>
        <w:instrText xml:space="preserve"> PAGEREF _Toc22954 \h </w:instrText>
      </w:r>
      <w:r>
        <w:fldChar w:fldCharType="separate"/>
      </w:r>
      <w:r>
        <w:t>- 27 -</w:t>
      </w:r>
      <w:r>
        <w:fldChar w:fldCharType="end"/>
      </w:r>
      <w:r>
        <w:rPr>
          <w:rFonts w:hint="eastAsia" w:ascii="仿宋_GB2312" w:hAnsi="仿宋_GB2312" w:eastAsia="仿宋_GB2312" w:cs="仿宋_GB2312"/>
          <w:color w:val="auto"/>
          <w:szCs w:val="28"/>
          <w:highlight w:val="none"/>
          <w:lang w:val="en-US" w:eastAsia="zh-CN"/>
        </w:rPr>
        <w:fldChar w:fldCharType="end"/>
      </w:r>
    </w:p>
    <w:p w14:paraId="6D58484B">
      <w:pPr>
        <w:pStyle w:val="12"/>
        <w:tabs>
          <w:tab w:val="right" w:leader="dot" w:pos="8504"/>
        </w:tabs>
      </w:pPr>
      <w:r>
        <w:rPr>
          <w:rFonts w:hint="eastAsia" w:ascii="仿宋_GB2312" w:hAnsi="仿宋_GB2312" w:eastAsia="仿宋_GB2312" w:cs="仿宋_GB2312"/>
          <w:color w:val="auto"/>
          <w:szCs w:val="28"/>
          <w:highlight w:val="none"/>
          <w:lang w:val="en-US" w:eastAsia="zh-CN"/>
        </w:rPr>
        <w:fldChar w:fldCharType="begin"/>
      </w:r>
      <w:r>
        <w:rPr>
          <w:rFonts w:hint="eastAsia" w:ascii="仿宋_GB2312" w:hAnsi="仿宋_GB2312" w:eastAsia="仿宋_GB2312" w:cs="仿宋_GB2312"/>
          <w:szCs w:val="28"/>
          <w:highlight w:val="none"/>
          <w:lang w:val="en-US" w:eastAsia="zh-CN"/>
        </w:rPr>
        <w:instrText xml:space="preserve"> HYPERLINK \l _Toc4261 </w:instrText>
      </w:r>
      <w:r>
        <w:rPr>
          <w:rFonts w:hint="eastAsia" w:ascii="仿宋_GB2312" w:hAnsi="仿宋_GB2312" w:eastAsia="仿宋_GB2312" w:cs="仿宋_GB2312"/>
          <w:szCs w:val="28"/>
          <w:highlight w:val="none"/>
          <w:lang w:val="en-US" w:eastAsia="zh-CN"/>
        </w:rPr>
        <w:fldChar w:fldCharType="separate"/>
      </w:r>
      <w:r>
        <w:rPr>
          <w:rFonts w:hint="eastAsia" w:ascii="仿宋_GB2312" w:hAnsi="仿宋_GB2312" w:eastAsia="仿宋_GB2312" w:cs="仿宋_GB2312"/>
          <w:bCs/>
          <w:szCs w:val="28"/>
          <w:highlight w:val="none"/>
          <w:lang w:val="en-US" w:eastAsia="zh-CN"/>
        </w:rPr>
        <w:t>十、提供评审指标对应材料</w:t>
      </w:r>
      <w:r>
        <w:tab/>
      </w:r>
      <w:r>
        <w:fldChar w:fldCharType="begin"/>
      </w:r>
      <w:r>
        <w:instrText xml:space="preserve"> PAGEREF _Toc4261 \h </w:instrText>
      </w:r>
      <w:r>
        <w:fldChar w:fldCharType="separate"/>
      </w:r>
      <w:r>
        <w:t>- 28 -</w:t>
      </w:r>
      <w:r>
        <w:fldChar w:fldCharType="end"/>
      </w:r>
      <w:r>
        <w:rPr>
          <w:rFonts w:hint="eastAsia" w:ascii="仿宋_GB2312" w:hAnsi="仿宋_GB2312" w:eastAsia="仿宋_GB2312" w:cs="仿宋_GB2312"/>
          <w:color w:val="auto"/>
          <w:szCs w:val="28"/>
          <w:highlight w:val="none"/>
          <w:lang w:val="en-US" w:eastAsia="zh-CN"/>
        </w:rPr>
        <w:fldChar w:fldCharType="end"/>
      </w:r>
    </w:p>
    <w:p w14:paraId="26397594">
      <w:pPr>
        <w:keepNext w:val="0"/>
        <w:keepLines w:val="0"/>
        <w:pageBreakBefore w:val="0"/>
        <w:overflowPunct/>
        <w:bidi w:val="0"/>
        <w:spacing w:line="360" w:lineRule="auto"/>
        <w:jc w:val="left"/>
        <w:outlineLvl w:val="9"/>
        <w:rPr>
          <w:rFonts w:hint="eastAsia" w:ascii="仿宋_GB2312" w:hAnsi="仿宋_GB2312" w:eastAsia="仿宋_GB2312" w:cs="仿宋_GB2312"/>
          <w:color w:val="auto"/>
          <w:szCs w:val="28"/>
          <w:highlight w:val="none"/>
          <w:lang w:val="en-US" w:eastAsia="zh-CN"/>
        </w:rPr>
      </w:pPr>
      <w:r>
        <w:rPr>
          <w:rFonts w:hint="eastAsia" w:ascii="仿宋_GB2312" w:hAnsi="仿宋_GB2312" w:eastAsia="仿宋_GB2312" w:cs="仿宋_GB2312"/>
          <w:color w:val="auto"/>
          <w:szCs w:val="28"/>
          <w:highlight w:val="none"/>
          <w:lang w:val="en-US" w:eastAsia="zh-CN"/>
        </w:rPr>
        <w:fldChar w:fldCharType="end"/>
      </w:r>
      <w:r>
        <w:rPr>
          <w:rFonts w:hint="eastAsia" w:ascii="仿宋_GB2312" w:hAnsi="仿宋_GB2312" w:eastAsia="仿宋_GB2312" w:cs="仿宋_GB2312"/>
          <w:color w:val="auto"/>
          <w:szCs w:val="28"/>
          <w:highlight w:val="none"/>
          <w:lang w:val="en-US" w:eastAsia="zh-CN"/>
        </w:rPr>
        <w:br w:type="page"/>
      </w:r>
    </w:p>
    <w:p w14:paraId="2760C2EC">
      <w:pPr>
        <w:pStyle w:val="20"/>
        <w:keepNext w:val="0"/>
        <w:keepLines w:val="0"/>
        <w:pageBreakBefore w:val="0"/>
        <w:overflowPunct/>
        <w:bidi w:val="0"/>
        <w:spacing w:line="360" w:lineRule="auto"/>
        <w:ind w:firstLine="0" w:firstLineChars="0"/>
        <w:jc w:val="center"/>
        <w:outlineLvl w:val="0"/>
        <w:rPr>
          <w:rFonts w:hint="eastAsia" w:ascii="仿宋_GB2312" w:hAnsi="仿宋_GB2312" w:eastAsia="仿宋_GB2312" w:cs="仿宋_GB2312"/>
          <w:b/>
          <w:bCs/>
          <w:color w:val="auto"/>
          <w:sz w:val="28"/>
          <w:szCs w:val="28"/>
          <w:highlight w:val="none"/>
        </w:rPr>
      </w:pPr>
      <w:bookmarkStart w:id="0" w:name="_Toc13975"/>
      <w:bookmarkStart w:id="1" w:name="_Toc3490"/>
      <w:bookmarkStart w:id="2" w:name="_Toc31346"/>
      <w:bookmarkStart w:id="3" w:name="_Toc13942"/>
      <w:bookmarkStart w:id="4" w:name="_Toc13275"/>
      <w:bookmarkStart w:id="5" w:name="_Toc15808"/>
      <w:bookmarkStart w:id="6" w:name="_Toc17820"/>
      <w:bookmarkStart w:id="7" w:name="_Toc7064"/>
      <w:bookmarkStart w:id="8" w:name="_Toc17741"/>
      <w:bookmarkStart w:id="9" w:name="_Toc30445"/>
      <w:bookmarkStart w:id="10" w:name="_Toc7448"/>
      <w:bookmarkStart w:id="11" w:name="_Toc12235"/>
      <w:bookmarkStart w:id="12" w:name="_Toc10696"/>
      <w:bookmarkStart w:id="13" w:name="_Toc17121"/>
      <w:bookmarkStart w:id="14" w:name="_Toc17612"/>
      <w:bookmarkStart w:id="15" w:name="_Toc19272"/>
      <w:bookmarkStart w:id="16" w:name="_Toc3733"/>
      <w:bookmarkStart w:id="17" w:name="_Toc26608"/>
      <w:bookmarkStart w:id="18" w:name="_Toc12657"/>
      <w:bookmarkStart w:id="19" w:name="_Toc31974"/>
      <w:bookmarkStart w:id="20" w:name="_Toc24621"/>
      <w:bookmarkStart w:id="21" w:name="_Toc629"/>
      <w:bookmarkStart w:id="22" w:name="_Toc15728"/>
      <w:bookmarkStart w:id="23" w:name="_Toc27289"/>
      <w:r>
        <w:rPr>
          <w:rFonts w:hint="eastAsia" w:ascii="仿宋_GB2312" w:hAnsi="仿宋_GB2312" w:eastAsia="仿宋_GB2312" w:cs="仿宋_GB2312"/>
          <w:b/>
          <w:bCs/>
          <w:color w:val="auto"/>
          <w:sz w:val="28"/>
          <w:szCs w:val="28"/>
          <w:highlight w:val="none"/>
        </w:rPr>
        <w:t>第一部分</w:t>
      </w:r>
      <w:r>
        <w:rPr>
          <w:rFonts w:hint="eastAsia" w:ascii="仿宋_GB2312" w:hAnsi="仿宋_GB2312" w:eastAsia="仿宋_GB2312" w:cs="仿宋_GB2312"/>
          <w:b/>
          <w:bCs/>
          <w:color w:val="auto"/>
          <w:sz w:val="28"/>
          <w:szCs w:val="28"/>
          <w:highlight w:val="none"/>
          <w:lang w:val="en-US" w:eastAsia="zh-CN"/>
        </w:rPr>
        <w:t xml:space="preserve">  招标</w:t>
      </w:r>
      <w:r>
        <w:rPr>
          <w:rFonts w:hint="eastAsia" w:ascii="仿宋_GB2312" w:hAnsi="仿宋_GB2312" w:eastAsia="仿宋_GB2312" w:cs="仿宋_GB2312"/>
          <w:b/>
          <w:bCs/>
          <w:color w:val="auto"/>
          <w:sz w:val="28"/>
          <w:szCs w:val="28"/>
          <w:highlight w:val="none"/>
        </w:rPr>
        <w:t>公告</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6EB7A3A4">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因业务需要，安徽新安银行计划进行采购办公电脑项目公开招标，欢迎符合资格条件的投标人参加本次投标，现将有关事宜公告如下：</w:t>
      </w:r>
    </w:p>
    <w:p w14:paraId="22F920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outlineLvl w:val="1"/>
        <w:rPr>
          <w:rFonts w:hint="eastAsia" w:ascii="仿宋_GB2312" w:hAnsi="仿宋_GB2312" w:eastAsia="仿宋_GB2312" w:cs="仿宋_GB2312"/>
          <w:color w:val="auto"/>
          <w:sz w:val="28"/>
          <w:szCs w:val="28"/>
          <w:highlight w:val="none"/>
          <w:lang w:val="en-US" w:eastAsia="zh-CN"/>
        </w:rPr>
      </w:pPr>
      <w:bookmarkStart w:id="24" w:name="_Toc8773"/>
      <w:bookmarkStart w:id="25" w:name="_Toc12284"/>
      <w:bookmarkStart w:id="26" w:name="_Toc20293"/>
      <w:bookmarkStart w:id="27" w:name="_Toc28754"/>
      <w:bookmarkStart w:id="28" w:name="_Toc4497"/>
      <w:bookmarkStart w:id="29" w:name="_Toc14219"/>
      <w:bookmarkStart w:id="30" w:name="_Toc25507"/>
      <w:bookmarkStart w:id="31" w:name="_Toc32084"/>
      <w:bookmarkStart w:id="32" w:name="_Toc5010"/>
      <w:bookmarkStart w:id="33" w:name="_Toc24031"/>
      <w:bookmarkStart w:id="34" w:name="_Toc16461"/>
      <w:bookmarkStart w:id="35" w:name="_Toc16220"/>
      <w:bookmarkStart w:id="36" w:name="_Toc11153"/>
      <w:bookmarkStart w:id="37" w:name="_Toc22166"/>
      <w:bookmarkStart w:id="38" w:name="_Toc10354"/>
      <w:bookmarkStart w:id="39" w:name="_Toc10857"/>
      <w:bookmarkStart w:id="40" w:name="_Toc17621"/>
      <w:bookmarkStart w:id="41" w:name="_Toc31617"/>
      <w:bookmarkStart w:id="42" w:name="_Toc18110"/>
      <w:bookmarkStart w:id="43" w:name="_Toc24100"/>
      <w:bookmarkStart w:id="44" w:name="_Toc27500"/>
      <w:bookmarkStart w:id="45" w:name="_Toc19233"/>
      <w:bookmarkStart w:id="46" w:name="_Toc23143"/>
      <w:bookmarkStart w:id="47" w:name="_Toc9228"/>
      <w:r>
        <w:rPr>
          <w:rFonts w:hint="eastAsia" w:ascii="仿宋_GB2312" w:hAnsi="仿宋_GB2312" w:eastAsia="仿宋_GB2312" w:cs="仿宋_GB2312"/>
          <w:color w:val="auto"/>
          <w:sz w:val="28"/>
          <w:szCs w:val="28"/>
          <w:highlight w:val="none"/>
          <w:lang w:val="en-US" w:eastAsia="zh-CN"/>
        </w:rPr>
        <w:t>一、采购项目名称及内容</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4554CB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招标人：安徽新安银行股份有限公司</w:t>
      </w:r>
    </w:p>
    <w:p w14:paraId="546BD5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项目名称：办公电脑采购项目</w:t>
      </w:r>
    </w:p>
    <w:p w14:paraId="388C408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招标方式：公开招标</w:t>
      </w:r>
    </w:p>
    <w:p w14:paraId="3A042F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项目预算：含税总成本不超过30.48万元</w:t>
      </w:r>
    </w:p>
    <w:p w14:paraId="7CAF2D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招标内容：48套台式电脑</w:t>
      </w:r>
    </w:p>
    <w:p w14:paraId="180DB2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28"/>
          <w:szCs w:val="28"/>
          <w:highlight w:val="none"/>
          <w:lang w:val="en-US" w:eastAsia="zh-CN"/>
        </w:rPr>
        <w:t>资金来源：自筹资金</w:t>
      </w:r>
    </w:p>
    <w:p w14:paraId="2F20C8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outlineLvl w:val="1"/>
        <w:rPr>
          <w:rFonts w:hint="eastAsia" w:ascii="仿宋_GB2312" w:hAnsi="仿宋_GB2312" w:eastAsia="仿宋_GB2312" w:cs="仿宋_GB2312"/>
          <w:color w:val="auto"/>
          <w:sz w:val="28"/>
          <w:szCs w:val="28"/>
          <w:highlight w:val="none"/>
          <w:lang w:val="en-US" w:eastAsia="zh-CN"/>
        </w:rPr>
      </w:pPr>
      <w:bookmarkStart w:id="48" w:name="_Toc9275"/>
      <w:bookmarkStart w:id="49" w:name="_Toc2423"/>
      <w:bookmarkStart w:id="50" w:name="_Toc29006"/>
      <w:bookmarkStart w:id="51" w:name="_Toc23656"/>
      <w:bookmarkStart w:id="52" w:name="_Toc4343"/>
      <w:bookmarkStart w:id="53" w:name="_Toc4102"/>
      <w:bookmarkStart w:id="54" w:name="_Toc15179"/>
      <w:bookmarkStart w:id="55" w:name="_Toc10041"/>
      <w:bookmarkStart w:id="56" w:name="_Toc12448"/>
      <w:bookmarkStart w:id="57" w:name="_Toc24803"/>
      <w:bookmarkStart w:id="58" w:name="_Toc12123"/>
      <w:bookmarkStart w:id="59" w:name="_Toc29648"/>
      <w:bookmarkStart w:id="60" w:name="_Toc26905"/>
      <w:bookmarkStart w:id="61" w:name="_Toc10797"/>
      <w:bookmarkStart w:id="62" w:name="_Toc10482"/>
      <w:bookmarkStart w:id="63" w:name="_Toc26602"/>
      <w:bookmarkStart w:id="64" w:name="_Toc23403"/>
      <w:bookmarkStart w:id="65" w:name="_Toc22358"/>
      <w:bookmarkStart w:id="66" w:name="_Toc24552"/>
      <w:bookmarkStart w:id="67" w:name="_Toc28407"/>
      <w:bookmarkStart w:id="68" w:name="_Toc17278"/>
      <w:bookmarkStart w:id="69" w:name="_Toc13299"/>
      <w:bookmarkStart w:id="70" w:name="_Toc18295"/>
      <w:bookmarkStart w:id="71" w:name="_Toc29872"/>
      <w:r>
        <w:rPr>
          <w:rFonts w:hint="eastAsia" w:ascii="仿宋_GB2312" w:hAnsi="仿宋_GB2312" w:eastAsia="仿宋_GB2312" w:cs="仿宋_GB2312"/>
          <w:color w:val="auto"/>
          <w:sz w:val="28"/>
          <w:szCs w:val="28"/>
          <w:highlight w:val="none"/>
          <w:lang w:val="en-US" w:eastAsia="zh-CN"/>
        </w:rPr>
        <w:t>二、合格供应商资格要求</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2A9E9222">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1.须在中华人民共和国境内依法注册，具有独立承担民事责任的能力，提供有效的营业执照复印件并加盖单位公章。</w:t>
      </w:r>
    </w:p>
    <w:p w14:paraId="0E22966D">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2.应诚实守信，不得提供虚假材料，无提供虚假材料报名参加采购或招标的历史行为，不得被“信用中国”网站（www.creditchina.gov.cn）列入严重失信主体名单，也不得被“国家企业信用信息公示系统”（www.gsxt.gov.cn）列入严重违法失信名单。（须提供“信用中国”网站及“国家企业信用信息公示系统”查询的信用记录截图打印稿并加盖单位公章）。必须未被招投标监督管理部门限制投标（禁止期内），提供承诺书并加盖单位公章，格式自拟。</w:t>
      </w:r>
    </w:p>
    <w:p w14:paraId="2021A79E">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3.近三年需具有类似业绩案例（提供合同复印件并加盖单位公章，关键信息应清晰可见）。</w:t>
      </w:r>
    </w:p>
    <w:p w14:paraId="507070A5">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4.须提供《供应商廉洁承诺书》并加盖单位公章。</w:t>
      </w:r>
    </w:p>
    <w:p w14:paraId="07CA0A94">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5.不接受联合体参加，选中单位不得转包或分包，需提供承诺书并加盖单位公章，格式自拟。</w:t>
      </w:r>
    </w:p>
    <w:p w14:paraId="0A5195AA">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6.存在关联关系的不同供应商，不得同时参加本项目投标。关联关系企业包含以下情况：</w:t>
      </w:r>
    </w:p>
    <w:p w14:paraId="2FD1C78C">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（1）与本企业单位负责人为同一人的其他企业；</w:t>
      </w:r>
    </w:p>
    <w:p w14:paraId="7051FADD">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（2）与本企业存在直接控股、管理关系的其他企业；</w:t>
      </w:r>
    </w:p>
    <w:p w14:paraId="06FC501B">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（3）投标供应商应向招标人如实披露与本单位存在关联关系的其他企业。</w:t>
      </w:r>
    </w:p>
    <w:p w14:paraId="1D188A44">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须提供承诺书并加盖单位公章（格式自拟）。如存在关联情况，我方有权取消关联关系企业参与该项目的资格或重新组织采购。</w:t>
      </w:r>
    </w:p>
    <w:p w14:paraId="38F914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outlineLvl w:val="1"/>
        <w:rPr>
          <w:rFonts w:hint="eastAsia" w:ascii="仿宋_GB2312" w:hAnsi="仿宋_GB2312" w:eastAsia="仿宋_GB2312" w:cs="仿宋_GB2312"/>
          <w:color w:val="auto"/>
          <w:sz w:val="28"/>
          <w:szCs w:val="28"/>
          <w:highlight w:val="none"/>
          <w:lang w:val="en-US" w:eastAsia="zh-CN"/>
        </w:rPr>
      </w:pPr>
      <w:bookmarkStart w:id="72" w:name="_Toc8438"/>
      <w:bookmarkStart w:id="73" w:name="_Toc24452"/>
      <w:bookmarkStart w:id="74" w:name="_Toc9414"/>
      <w:bookmarkStart w:id="75" w:name="_Toc29267"/>
      <w:bookmarkStart w:id="76" w:name="_Toc20931"/>
      <w:bookmarkStart w:id="77" w:name="_Toc12309"/>
      <w:bookmarkStart w:id="78" w:name="_Toc11385"/>
      <w:bookmarkStart w:id="79" w:name="_Toc17479"/>
      <w:bookmarkStart w:id="80" w:name="_Toc31261"/>
      <w:bookmarkStart w:id="81" w:name="_Toc26356"/>
      <w:bookmarkStart w:id="82" w:name="_Toc32033"/>
      <w:bookmarkStart w:id="83" w:name="_Toc19867"/>
      <w:bookmarkStart w:id="84" w:name="_Toc22352"/>
      <w:bookmarkStart w:id="85" w:name="_Toc22828"/>
      <w:bookmarkStart w:id="86" w:name="_Toc411"/>
      <w:bookmarkStart w:id="87" w:name="_Toc2562"/>
      <w:bookmarkStart w:id="88" w:name="_Toc17593"/>
      <w:bookmarkStart w:id="89" w:name="_Toc15119"/>
      <w:bookmarkStart w:id="90" w:name="_Toc19611"/>
      <w:bookmarkStart w:id="91" w:name="_Toc30355"/>
      <w:bookmarkStart w:id="92" w:name="_Toc11267"/>
      <w:bookmarkStart w:id="93" w:name="_Toc3376"/>
      <w:bookmarkStart w:id="94" w:name="_Toc20571"/>
      <w:bookmarkStart w:id="95" w:name="_Toc1632"/>
      <w:r>
        <w:rPr>
          <w:rFonts w:hint="eastAsia" w:ascii="仿宋_GB2312" w:hAnsi="仿宋_GB2312" w:eastAsia="仿宋_GB2312" w:cs="仿宋_GB2312"/>
          <w:color w:val="auto"/>
          <w:sz w:val="28"/>
          <w:szCs w:val="28"/>
          <w:highlight w:val="none"/>
          <w:lang w:val="en-US" w:eastAsia="zh-CN"/>
        </w:rPr>
        <w:t>三、报名方式及资格审查</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45E45B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1.投标人将资格要求材料于本公告挂网日起3个工作日内发送至新安银行邮箱（</w:t>
      </w:r>
      <w:r>
        <w:rPr>
          <w:rFonts w:hint="eastAsia" w:ascii="仿宋_GB2312" w:hAnsi="仿宋_GB2312" w:eastAsia="仿宋_GB2312" w:cs="仿宋_GB2312"/>
          <w:color w:val="auto"/>
          <w:sz w:val="28"/>
          <w:szCs w:val="28"/>
          <w:highlight w:val="none"/>
          <w:lang w:val="en-US" w:eastAsia="zh-CN"/>
        </w:rPr>
        <w:fldChar w:fldCharType="begin"/>
      </w:r>
      <w:r>
        <w:rPr>
          <w:rFonts w:hint="eastAsia" w:ascii="仿宋_GB2312" w:hAnsi="仿宋_GB2312" w:eastAsia="仿宋_GB2312" w:cs="仿宋_GB2312"/>
          <w:color w:val="auto"/>
          <w:sz w:val="28"/>
          <w:szCs w:val="28"/>
          <w:highlight w:val="none"/>
          <w:lang w:val="en-US" w:eastAsia="zh-CN"/>
        </w:rPr>
        <w:instrText xml:space="preserve"> HYPERLINK "mailto:ztb@xa-bank.com" </w:instrText>
      </w:r>
      <w:r>
        <w:rPr>
          <w:rFonts w:hint="eastAsia" w:ascii="仿宋_GB2312" w:hAnsi="仿宋_GB2312" w:eastAsia="仿宋_GB2312" w:cs="仿宋_GB2312"/>
          <w:color w:val="auto"/>
          <w:sz w:val="28"/>
          <w:szCs w:val="28"/>
          <w:highlight w:val="none"/>
          <w:lang w:val="en-US" w:eastAsia="zh-CN"/>
        </w:rPr>
        <w:fldChar w:fldCharType="separate"/>
      </w:r>
      <w:r>
        <w:rPr>
          <w:rFonts w:hint="eastAsia" w:ascii="仿宋_GB2312" w:hAnsi="仿宋_GB2312" w:eastAsia="仿宋_GB2312" w:cs="仿宋_GB2312"/>
          <w:color w:val="auto"/>
          <w:sz w:val="28"/>
          <w:szCs w:val="28"/>
          <w:highlight w:val="none"/>
          <w:lang w:val="en-US" w:eastAsia="zh-CN"/>
        </w:rPr>
        <w:t>ztb@xa-bank.com</w:t>
      </w:r>
      <w:r>
        <w:rPr>
          <w:rFonts w:hint="eastAsia" w:ascii="仿宋_GB2312" w:hAnsi="仿宋_GB2312" w:eastAsia="仿宋_GB2312" w:cs="仿宋_GB2312"/>
          <w:color w:val="auto"/>
          <w:sz w:val="28"/>
          <w:szCs w:val="28"/>
          <w:highlight w:val="none"/>
          <w:lang w:val="en-US" w:eastAsia="zh-CN"/>
        </w:rPr>
        <w:fldChar w:fldCharType="end"/>
      </w:r>
      <w:r>
        <w:rPr>
          <w:rFonts w:hint="eastAsia" w:ascii="仿宋_GB2312" w:hAnsi="仿宋_GB2312" w:eastAsia="仿宋_GB2312" w:cs="仿宋_GB2312"/>
          <w:color w:val="auto"/>
          <w:sz w:val="28"/>
          <w:szCs w:val="28"/>
          <w:highlight w:val="none"/>
          <w:lang w:val="en-US" w:eastAsia="zh-CN"/>
        </w:rPr>
        <w:t>）完成报名，待行方资格审查通过后，通知投标人参加采购。</w:t>
      </w:r>
    </w:p>
    <w:p w14:paraId="21EF70E2">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2.投标人应当制作采购文件。内容包括但不限于，本公司简介、优势、以往的类似案例、其他相关材料等。采购文件应统一用A4信封密封，封口处加盖单位公章，信封正面注明供应商名称、代理人姓名及联系方式、项目名称、投递日期等事项。投标人应在采购会当日，在采购会通知开始时间前半小时将投标文件送交安徽新安银行，不接受电子投标文件。</w:t>
      </w:r>
    </w:p>
    <w:p w14:paraId="2CF4BC16">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1"/>
        <w:rPr>
          <w:rFonts w:hint="eastAsia" w:ascii="仿宋_GB2312" w:hAnsi="仿宋_GB2312" w:eastAsia="仿宋_GB2312" w:cs="仿宋_GB2312"/>
          <w:b w:val="0"/>
          <w:bCs w:val="0"/>
          <w:color w:val="auto"/>
          <w:sz w:val="28"/>
          <w:szCs w:val="28"/>
          <w:highlight w:val="none"/>
          <w:lang w:val="en-US" w:eastAsia="zh-CN"/>
        </w:rPr>
      </w:pPr>
      <w:bookmarkStart w:id="96" w:name="_Toc29859"/>
      <w:bookmarkStart w:id="97" w:name="_Toc19977"/>
      <w:bookmarkStart w:id="98" w:name="_Toc25369"/>
      <w:bookmarkStart w:id="99" w:name="_Toc23676"/>
      <w:bookmarkStart w:id="100" w:name="_Toc17588"/>
      <w:bookmarkStart w:id="101" w:name="_Toc10456"/>
      <w:bookmarkStart w:id="102" w:name="_Toc10608"/>
      <w:bookmarkStart w:id="103" w:name="_Toc18301"/>
      <w:bookmarkStart w:id="104" w:name="_Toc2956"/>
      <w:bookmarkStart w:id="105" w:name="_Toc22106"/>
      <w:bookmarkStart w:id="106" w:name="_Toc28832"/>
      <w:bookmarkStart w:id="107" w:name="_Toc5477"/>
      <w:bookmarkStart w:id="108" w:name="_Toc23198"/>
      <w:bookmarkStart w:id="109" w:name="_Toc31958"/>
      <w:bookmarkStart w:id="110" w:name="_Toc3087"/>
      <w:bookmarkStart w:id="111" w:name="_Toc4930"/>
      <w:bookmarkStart w:id="112" w:name="_Toc21130"/>
      <w:bookmarkStart w:id="113" w:name="_Toc22229"/>
      <w:bookmarkStart w:id="114" w:name="_Toc15654"/>
      <w:bookmarkStart w:id="115" w:name="_Toc16240"/>
      <w:bookmarkStart w:id="116" w:name="_Toc14083"/>
      <w:bookmarkStart w:id="117" w:name="_Toc30500"/>
      <w:bookmarkStart w:id="118" w:name="_Toc30230"/>
      <w:r>
        <w:rPr>
          <w:rFonts w:hint="eastAsia" w:ascii="仿宋_GB2312" w:hAnsi="仿宋_GB2312" w:eastAsia="仿宋_GB2312" w:cs="仿宋_GB2312"/>
          <w:b w:val="0"/>
          <w:bCs w:val="0"/>
          <w:color w:val="auto"/>
          <w:sz w:val="28"/>
          <w:szCs w:val="28"/>
          <w:highlight w:val="none"/>
          <w:lang w:val="en-US" w:eastAsia="zh-CN"/>
        </w:rPr>
        <w:t>四、招标日期和地点</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673DE3A2">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招标日期：具体时间以行方最后通知为准</w:t>
      </w:r>
    </w:p>
    <w:p w14:paraId="302CD541">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招标地点：安徽新安银行股份有限公司</w:t>
      </w:r>
    </w:p>
    <w:p w14:paraId="0B4752AA">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1"/>
        <w:rPr>
          <w:rFonts w:hint="eastAsia" w:ascii="仿宋_GB2312" w:hAnsi="仿宋_GB2312" w:eastAsia="仿宋_GB2312" w:cs="仿宋_GB2312"/>
          <w:b w:val="0"/>
          <w:bCs w:val="0"/>
          <w:color w:val="auto"/>
          <w:sz w:val="28"/>
          <w:szCs w:val="28"/>
          <w:highlight w:val="none"/>
          <w:lang w:val="en-US" w:eastAsia="zh-CN"/>
        </w:rPr>
      </w:pPr>
      <w:bookmarkStart w:id="119" w:name="_Toc17230"/>
      <w:bookmarkStart w:id="120" w:name="_Toc6300"/>
      <w:bookmarkStart w:id="121" w:name="_Toc22151"/>
      <w:bookmarkStart w:id="122" w:name="_Toc12143"/>
      <w:bookmarkStart w:id="123" w:name="_Toc1431"/>
      <w:bookmarkStart w:id="124" w:name="_Toc23879"/>
      <w:bookmarkStart w:id="125" w:name="_Toc25054"/>
      <w:bookmarkStart w:id="126" w:name="_Toc14910"/>
      <w:bookmarkStart w:id="127" w:name="_Toc15272"/>
      <w:bookmarkStart w:id="128" w:name="_Toc12007"/>
      <w:bookmarkStart w:id="129" w:name="_Toc26449"/>
      <w:bookmarkStart w:id="130" w:name="_Toc11425"/>
      <w:bookmarkStart w:id="131" w:name="_Toc14147"/>
      <w:bookmarkStart w:id="132" w:name="_Toc28756"/>
      <w:bookmarkStart w:id="133" w:name="_Toc114"/>
      <w:bookmarkStart w:id="134" w:name="_Toc17508"/>
      <w:bookmarkStart w:id="135" w:name="_Toc19868"/>
      <w:bookmarkStart w:id="136" w:name="_Toc13454"/>
      <w:bookmarkStart w:id="137" w:name="_Toc30506"/>
      <w:bookmarkStart w:id="138" w:name="_Toc14466"/>
      <w:bookmarkStart w:id="139" w:name="_Toc28563"/>
      <w:bookmarkStart w:id="140" w:name="_Toc6053"/>
      <w:bookmarkStart w:id="141" w:name="_Toc21881"/>
      <w:r>
        <w:rPr>
          <w:rFonts w:hint="eastAsia" w:ascii="仿宋_GB2312" w:hAnsi="仿宋_GB2312" w:eastAsia="仿宋_GB2312" w:cs="仿宋_GB2312"/>
          <w:b w:val="0"/>
          <w:bCs w:val="0"/>
          <w:color w:val="auto"/>
          <w:sz w:val="28"/>
          <w:szCs w:val="28"/>
          <w:highlight w:val="none"/>
          <w:lang w:val="en-US" w:eastAsia="zh-CN"/>
        </w:rPr>
        <w:t>五、评价方式</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14:paraId="6F5C2953">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见招标文件。</w:t>
      </w:r>
    </w:p>
    <w:p w14:paraId="61864D59">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1"/>
        <w:rPr>
          <w:rFonts w:hint="eastAsia" w:ascii="仿宋_GB2312" w:hAnsi="仿宋_GB2312" w:eastAsia="仿宋_GB2312" w:cs="仿宋_GB2312"/>
          <w:b w:val="0"/>
          <w:bCs w:val="0"/>
          <w:color w:val="auto"/>
          <w:sz w:val="28"/>
          <w:szCs w:val="28"/>
          <w:highlight w:val="none"/>
          <w:lang w:val="en-US" w:eastAsia="zh-CN"/>
        </w:rPr>
      </w:pPr>
      <w:bookmarkStart w:id="142" w:name="_Toc19282"/>
      <w:bookmarkStart w:id="143" w:name="_Toc15753"/>
      <w:bookmarkStart w:id="144" w:name="_Toc5951"/>
      <w:bookmarkStart w:id="145" w:name="_Toc14597"/>
      <w:bookmarkStart w:id="146" w:name="_Toc16820"/>
      <w:bookmarkStart w:id="147" w:name="_Toc16826"/>
      <w:bookmarkStart w:id="148" w:name="_Toc11365"/>
      <w:bookmarkStart w:id="149" w:name="_Toc13628"/>
      <w:bookmarkStart w:id="150" w:name="_Toc22175"/>
      <w:bookmarkStart w:id="151" w:name="_Toc21769"/>
      <w:bookmarkStart w:id="152" w:name="_Toc8737"/>
      <w:bookmarkStart w:id="153" w:name="_Toc2640"/>
      <w:bookmarkStart w:id="154" w:name="_Toc3823"/>
      <w:bookmarkStart w:id="155" w:name="_Toc18984"/>
      <w:bookmarkStart w:id="156" w:name="_Toc16560"/>
      <w:bookmarkStart w:id="157" w:name="_Toc14808"/>
      <w:bookmarkStart w:id="158" w:name="_Toc28495"/>
      <w:bookmarkStart w:id="159" w:name="_Toc12289"/>
      <w:bookmarkStart w:id="160" w:name="_Toc22549"/>
      <w:bookmarkStart w:id="161" w:name="_Toc3615"/>
      <w:bookmarkStart w:id="162" w:name="_Toc14647"/>
      <w:bookmarkStart w:id="163" w:name="_Toc14393"/>
      <w:bookmarkStart w:id="164" w:name="_Toc1474"/>
      <w:r>
        <w:rPr>
          <w:rFonts w:hint="eastAsia" w:ascii="仿宋_GB2312" w:hAnsi="仿宋_GB2312" w:eastAsia="仿宋_GB2312" w:cs="仿宋_GB2312"/>
          <w:b w:val="0"/>
          <w:bCs w:val="0"/>
          <w:color w:val="auto"/>
          <w:sz w:val="28"/>
          <w:szCs w:val="28"/>
          <w:highlight w:val="none"/>
          <w:lang w:val="en-US" w:eastAsia="zh-CN"/>
        </w:rPr>
        <w:t>六、联系方式</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67B7A5C0">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招标人：安徽新安银行股份有限公司</w:t>
      </w:r>
    </w:p>
    <w:p w14:paraId="742B9F42">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招标联系人：蔡先生17718106359/管女士（0551-69125926）</w:t>
      </w:r>
    </w:p>
    <w:p w14:paraId="71331179">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邮箱：ztb@xa-bank.com</w:t>
      </w:r>
    </w:p>
    <w:p w14:paraId="3C21495E">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招标监督电话：0551-69125959</w:t>
      </w:r>
    </w:p>
    <w:p w14:paraId="21C749EB">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招标监督邮箱：xajw@xa-bank.com</w:t>
      </w:r>
    </w:p>
    <w:p w14:paraId="5207064C">
      <w:pPr>
        <w:pStyle w:val="20"/>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地址：安徽省合肥市高新区创新大道2800号安徽新安银行</w:t>
      </w:r>
    </w:p>
    <w:p w14:paraId="57C5563B">
      <w:pP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br w:type="page"/>
      </w:r>
    </w:p>
    <w:p w14:paraId="16BB0E3A">
      <w:pPr>
        <w:pStyle w:val="20"/>
        <w:keepNext w:val="0"/>
        <w:keepLines w:val="0"/>
        <w:pageBreakBefore w:val="0"/>
        <w:overflowPunct/>
        <w:bidi w:val="0"/>
        <w:spacing w:line="360" w:lineRule="auto"/>
        <w:ind w:firstLine="0" w:firstLineChars="0"/>
        <w:jc w:val="center"/>
        <w:outlineLvl w:val="0"/>
        <w:rPr>
          <w:rFonts w:hint="eastAsia" w:ascii="仿宋_GB2312" w:hAnsi="仿宋_GB2312" w:eastAsia="仿宋_GB2312" w:cs="仿宋_GB2312"/>
          <w:color w:val="auto"/>
          <w:sz w:val="28"/>
          <w:szCs w:val="28"/>
          <w:highlight w:val="none"/>
          <w:lang w:eastAsia="zh-CN"/>
        </w:rPr>
      </w:pPr>
      <w:bookmarkStart w:id="165" w:name="_Toc19695"/>
      <w:bookmarkStart w:id="166" w:name="_Toc32093"/>
      <w:bookmarkStart w:id="167" w:name="_Toc559"/>
      <w:bookmarkStart w:id="168" w:name="_Toc31612"/>
      <w:bookmarkStart w:id="169" w:name="_Toc2846"/>
      <w:bookmarkStart w:id="170" w:name="_Toc29027"/>
      <w:bookmarkStart w:id="171" w:name="_Toc1028"/>
      <w:bookmarkStart w:id="172" w:name="_Toc7449"/>
      <w:bookmarkStart w:id="173" w:name="_Toc18414"/>
      <w:bookmarkStart w:id="174" w:name="_Toc19930"/>
      <w:bookmarkStart w:id="175" w:name="_Toc17517"/>
      <w:bookmarkStart w:id="176" w:name="_Toc19215"/>
      <w:bookmarkStart w:id="177" w:name="_Toc28577"/>
      <w:bookmarkStart w:id="178" w:name="_Toc22939"/>
      <w:bookmarkStart w:id="179" w:name="_Toc17797"/>
      <w:bookmarkStart w:id="180" w:name="_Toc13010"/>
      <w:bookmarkStart w:id="181" w:name="_Toc22703"/>
      <w:bookmarkStart w:id="182" w:name="_Toc2919"/>
      <w:bookmarkStart w:id="183" w:name="_Toc15335"/>
      <w:bookmarkStart w:id="184" w:name="_Toc9317"/>
      <w:bookmarkStart w:id="185" w:name="_Toc13884"/>
      <w:bookmarkStart w:id="186" w:name="_Toc20016"/>
      <w:bookmarkStart w:id="187" w:name="_Toc15355"/>
      <w:bookmarkStart w:id="188" w:name="_Toc7864"/>
      <w:r>
        <w:rPr>
          <w:rFonts w:hint="eastAsia" w:ascii="仿宋_GB2312" w:hAnsi="仿宋_GB2312" w:eastAsia="仿宋_GB2312" w:cs="仿宋_GB2312"/>
          <w:b/>
          <w:bCs/>
          <w:color w:val="auto"/>
          <w:sz w:val="28"/>
          <w:szCs w:val="28"/>
          <w:highlight w:val="none"/>
        </w:rPr>
        <w:t>第</w:t>
      </w:r>
      <w:r>
        <w:rPr>
          <w:rFonts w:hint="eastAsia" w:ascii="仿宋_GB2312" w:hAnsi="仿宋_GB2312" w:eastAsia="仿宋_GB2312" w:cs="仿宋_GB2312"/>
          <w:b/>
          <w:bCs/>
          <w:color w:val="auto"/>
          <w:sz w:val="28"/>
          <w:szCs w:val="28"/>
          <w:highlight w:val="none"/>
          <w:lang w:val="en-US" w:eastAsia="zh-CN"/>
        </w:rPr>
        <w:t>二</w:t>
      </w:r>
      <w:r>
        <w:rPr>
          <w:rFonts w:hint="eastAsia" w:ascii="仿宋_GB2312" w:hAnsi="仿宋_GB2312" w:eastAsia="仿宋_GB2312" w:cs="仿宋_GB2312"/>
          <w:b/>
          <w:bCs/>
          <w:color w:val="auto"/>
          <w:sz w:val="28"/>
          <w:szCs w:val="28"/>
          <w:highlight w:val="none"/>
        </w:rPr>
        <w:t>部分</w:t>
      </w:r>
      <w:r>
        <w:rPr>
          <w:rFonts w:hint="eastAsia" w:ascii="仿宋_GB2312" w:hAnsi="仿宋_GB2312" w:eastAsia="仿宋_GB2312" w:cs="仿宋_GB2312"/>
          <w:b/>
          <w:bCs/>
          <w:color w:val="auto"/>
          <w:sz w:val="28"/>
          <w:szCs w:val="28"/>
          <w:highlight w:val="none"/>
          <w:lang w:val="en-US" w:eastAsia="zh-CN"/>
        </w:rPr>
        <w:t xml:space="preserve"> 招标需求</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3D4D310E">
      <w:pPr>
        <w:keepNext w:val="0"/>
        <w:keepLines w:val="0"/>
        <w:pageBreakBefore w:val="0"/>
        <w:overflowPunct/>
        <w:bidi w:val="0"/>
        <w:spacing w:line="360" w:lineRule="auto"/>
        <w:ind w:firstLine="560" w:firstLineChars="200"/>
        <w:outlineLvl w:val="1"/>
        <w:rPr>
          <w:rFonts w:hint="eastAsia" w:ascii="仿宋_GB2312" w:hAnsi="仿宋_GB2312" w:eastAsia="仿宋_GB2312" w:cs="仿宋_GB2312"/>
          <w:color w:val="auto"/>
          <w:sz w:val="28"/>
          <w:szCs w:val="28"/>
          <w:highlight w:val="none"/>
          <w:lang w:eastAsia="zh-CN"/>
        </w:rPr>
      </w:pPr>
      <w:bookmarkStart w:id="189" w:name="_Toc9933"/>
      <w:bookmarkStart w:id="190" w:name="_Toc13026"/>
      <w:bookmarkStart w:id="191" w:name="_Toc6949"/>
      <w:bookmarkStart w:id="192" w:name="_Toc383"/>
      <w:bookmarkStart w:id="193" w:name="_Toc6199"/>
      <w:bookmarkStart w:id="194" w:name="_Toc19289"/>
      <w:bookmarkStart w:id="195" w:name="_Toc15561"/>
      <w:bookmarkStart w:id="196" w:name="_Toc831"/>
      <w:bookmarkStart w:id="197" w:name="_Toc5046"/>
      <w:bookmarkStart w:id="198" w:name="_Toc11283"/>
      <w:bookmarkStart w:id="199" w:name="_Toc150"/>
      <w:bookmarkStart w:id="200" w:name="_Toc1047"/>
      <w:bookmarkStart w:id="201" w:name="_Toc18537"/>
      <w:bookmarkStart w:id="202" w:name="_Toc23707"/>
      <w:bookmarkStart w:id="203" w:name="_Toc31731"/>
      <w:bookmarkStart w:id="204" w:name="_Toc32654"/>
      <w:bookmarkStart w:id="205" w:name="_Toc15854"/>
      <w:bookmarkStart w:id="206" w:name="_Toc2484"/>
      <w:bookmarkStart w:id="207" w:name="_Toc7511"/>
      <w:bookmarkStart w:id="208" w:name="_Toc15261"/>
      <w:bookmarkStart w:id="209" w:name="_Toc14665"/>
      <w:bookmarkStart w:id="210" w:name="_Toc12810"/>
      <w:bookmarkStart w:id="211" w:name="_Toc26994"/>
      <w:bookmarkStart w:id="212" w:name="_Toc31144"/>
      <w:r>
        <w:rPr>
          <w:rFonts w:hint="eastAsia" w:ascii="仿宋_GB2312" w:hAnsi="仿宋_GB2312" w:eastAsia="仿宋_GB2312" w:cs="仿宋_GB2312"/>
          <w:color w:val="auto"/>
          <w:sz w:val="28"/>
          <w:szCs w:val="28"/>
          <w:highlight w:val="none"/>
          <w:lang w:val="en-US" w:eastAsia="zh-CN"/>
        </w:rPr>
        <w:t>一、</w:t>
      </w:r>
      <w:r>
        <w:rPr>
          <w:rFonts w:hint="eastAsia" w:ascii="仿宋_GB2312" w:hAnsi="仿宋_GB2312" w:eastAsia="仿宋_GB2312" w:cs="仿宋_GB2312"/>
          <w:color w:val="auto"/>
          <w:sz w:val="28"/>
          <w:szCs w:val="28"/>
          <w:highlight w:val="none"/>
        </w:rPr>
        <w:t>采购</w:t>
      </w:r>
      <w:r>
        <w:rPr>
          <w:rFonts w:hint="eastAsia" w:ascii="仿宋_GB2312" w:hAnsi="仿宋_GB2312" w:eastAsia="仿宋_GB2312" w:cs="仿宋_GB2312"/>
          <w:color w:val="auto"/>
          <w:sz w:val="28"/>
          <w:szCs w:val="28"/>
          <w:highlight w:val="none"/>
          <w:lang w:val="en-US" w:eastAsia="zh-CN"/>
        </w:rPr>
        <w:t>要求</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1D5DCCCA">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本次采购分体式台式计算机共计48套，电脑配置需求、技术参数及要求、供货要求详见下述</w:t>
      </w:r>
      <w:r>
        <w:rPr>
          <w:rFonts w:hint="default" w:ascii="仿宋_GB2312" w:hAnsi="仿宋_GB2312" w:eastAsia="仿宋_GB2312" w:cs="仿宋_GB2312"/>
          <w:color w:val="auto"/>
          <w:sz w:val="28"/>
          <w:szCs w:val="28"/>
          <w:highlight w:val="none"/>
          <w:lang w:val="en-US" w:eastAsia="zh-CN"/>
        </w:rPr>
        <w:t>内容</w:t>
      </w:r>
      <w:r>
        <w:rPr>
          <w:rFonts w:hint="eastAsia" w:ascii="仿宋_GB2312" w:hAnsi="仿宋_GB2312" w:eastAsia="仿宋_GB2312" w:cs="仿宋_GB2312"/>
          <w:color w:val="auto"/>
          <w:sz w:val="28"/>
          <w:szCs w:val="28"/>
          <w:highlight w:val="none"/>
          <w:lang w:val="en-US" w:eastAsia="zh-CN"/>
        </w:rPr>
        <w:t>：</w:t>
      </w:r>
    </w:p>
    <w:tbl>
      <w:tblPr>
        <w:tblStyle w:val="15"/>
        <w:tblW w:w="7213" w:type="dxa"/>
        <w:jc w:val="center"/>
        <w:tblLayout w:type="fixed"/>
        <w:tblCellMar>
          <w:top w:w="0" w:type="dxa"/>
          <w:left w:w="108" w:type="dxa"/>
          <w:bottom w:w="0" w:type="dxa"/>
          <w:right w:w="108" w:type="dxa"/>
        </w:tblCellMar>
      </w:tblPr>
      <w:tblGrid>
        <w:gridCol w:w="658"/>
        <w:gridCol w:w="1095"/>
        <w:gridCol w:w="4626"/>
        <w:gridCol w:w="834"/>
      </w:tblGrid>
      <w:tr w14:paraId="4DFB02E7">
        <w:tblPrEx>
          <w:tblCellMar>
            <w:top w:w="0" w:type="dxa"/>
            <w:left w:w="108" w:type="dxa"/>
            <w:bottom w:w="0" w:type="dxa"/>
            <w:right w:w="108" w:type="dxa"/>
          </w:tblCellMar>
        </w:tblPrEx>
        <w:trPr>
          <w:trHeight w:val="758" w:hRule="atLeast"/>
          <w:jc w:val="center"/>
        </w:trPr>
        <w:tc>
          <w:tcPr>
            <w:tcW w:w="658" w:type="dxa"/>
            <w:tcBorders>
              <w:top w:val="single" w:color="auto" w:sz="8" w:space="0"/>
              <w:left w:val="single" w:color="auto" w:sz="8" w:space="0"/>
              <w:bottom w:val="single" w:color="auto" w:sz="4" w:space="0"/>
              <w:right w:val="single" w:color="auto" w:sz="4" w:space="0"/>
            </w:tcBorders>
            <w:shd w:val="clear" w:color="auto" w:fill="auto"/>
            <w:noWrap/>
            <w:vAlign w:val="center"/>
          </w:tcPr>
          <w:p w14:paraId="4972B290">
            <w:pPr>
              <w:keepNext w:val="0"/>
              <w:keepLines w:val="0"/>
              <w:pageBreakBefore w:val="0"/>
              <w:widowControl/>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序号</w:t>
            </w:r>
          </w:p>
        </w:tc>
        <w:tc>
          <w:tcPr>
            <w:tcW w:w="1095" w:type="dxa"/>
            <w:tcBorders>
              <w:top w:val="single" w:color="auto" w:sz="8" w:space="0"/>
              <w:left w:val="nil"/>
              <w:bottom w:val="single" w:color="auto" w:sz="4" w:space="0"/>
              <w:right w:val="single" w:color="auto" w:sz="4" w:space="0"/>
            </w:tcBorders>
            <w:shd w:val="clear" w:color="auto" w:fill="auto"/>
            <w:noWrap/>
            <w:vAlign w:val="center"/>
          </w:tcPr>
          <w:p w14:paraId="32C005E8">
            <w:pPr>
              <w:keepNext w:val="0"/>
              <w:keepLines w:val="0"/>
              <w:pageBreakBefore w:val="0"/>
              <w:widowControl/>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lang w:val="en-US" w:eastAsia="zh-CN"/>
              </w:rPr>
              <w:t>产品</w:t>
            </w:r>
            <w:r>
              <w:rPr>
                <w:rFonts w:hint="eastAsia" w:ascii="仿宋_GB2312" w:hAnsi="仿宋_GB2312" w:eastAsia="仿宋_GB2312" w:cs="仿宋_GB2312"/>
                <w:b/>
                <w:bCs/>
                <w:color w:val="auto"/>
                <w:kern w:val="0"/>
                <w:sz w:val="21"/>
                <w:szCs w:val="21"/>
                <w:highlight w:val="none"/>
              </w:rPr>
              <w:t>名称</w:t>
            </w:r>
          </w:p>
        </w:tc>
        <w:tc>
          <w:tcPr>
            <w:tcW w:w="4626" w:type="dxa"/>
            <w:tcBorders>
              <w:top w:val="single" w:color="auto" w:sz="8" w:space="0"/>
              <w:left w:val="nil"/>
              <w:bottom w:val="single" w:color="auto" w:sz="4" w:space="0"/>
              <w:right w:val="single" w:color="auto" w:sz="4" w:space="0"/>
            </w:tcBorders>
            <w:shd w:val="clear" w:color="auto" w:fill="auto"/>
            <w:noWrap/>
            <w:vAlign w:val="center"/>
          </w:tcPr>
          <w:p w14:paraId="0550A0E8">
            <w:pPr>
              <w:keepNext w:val="0"/>
              <w:keepLines w:val="0"/>
              <w:pageBreakBefore w:val="0"/>
              <w:widowControl/>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技术参数及要求</w:t>
            </w:r>
          </w:p>
        </w:tc>
        <w:tc>
          <w:tcPr>
            <w:tcW w:w="834" w:type="dxa"/>
            <w:tcBorders>
              <w:top w:val="single" w:color="auto" w:sz="8" w:space="0"/>
              <w:left w:val="nil"/>
              <w:bottom w:val="single" w:color="auto" w:sz="4" w:space="0"/>
              <w:right w:val="single" w:color="auto" w:sz="4" w:space="0"/>
            </w:tcBorders>
            <w:vAlign w:val="center"/>
          </w:tcPr>
          <w:p w14:paraId="0D052022">
            <w:pPr>
              <w:keepNext w:val="0"/>
              <w:keepLines w:val="0"/>
              <w:pageBreakBefore w:val="0"/>
              <w:widowControl/>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数量（</w:t>
            </w:r>
            <w:r>
              <w:rPr>
                <w:rFonts w:hint="eastAsia" w:ascii="仿宋_GB2312" w:hAnsi="仿宋_GB2312" w:eastAsia="仿宋_GB2312" w:cs="仿宋_GB2312"/>
                <w:b/>
                <w:bCs/>
                <w:color w:val="auto"/>
                <w:kern w:val="0"/>
                <w:sz w:val="21"/>
                <w:szCs w:val="21"/>
                <w:highlight w:val="none"/>
                <w:lang w:val="en-US" w:eastAsia="zh-CN"/>
              </w:rPr>
              <w:t>套</w:t>
            </w:r>
            <w:r>
              <w:rPr>
                <w:rFonts w:hint="eastAsia" w:ascii="仿宋_GB2312" w:hAnsi="仿宋_GB2312" w:eastAsia="仿宋_GB2312" w:cs="仿宋_GB2312"/>
                <w:b/>
                <w:bCs/>
                <w:color w:val="auto"/>
                <w:kern w:val="0"/>
                <w:sz w:val="21"/>
                <w:szCs w:val="21"/>
                <w:highlight w:val="none"/>
              </w:rPr>
              <w:t>）</w:t>
            </w:r>
          </w:p>
        </w:tc>
      </w:tr>
      <w:tr w14:paraId="32F7EFB7">
        <w:tblPrEx>
          <w:tblCellMar>
            <w:top w:w="0" w:type="dxa"/>
            <w:left w:w="108" w:type="dxa"/>
            <w:bottom w:w="0" w:type="dxa"/>
            <w:right w:w="108" w:type="dxa"/>
          </w:tblCellMar>
        </w:tblPrEx>
        <w:trPr>
          <w:trHeight w:val="582" w:hRule="atLeast"/>
          <w:jc w:val="center"/>
        </w:trPr>
        <w:tc>
          <w:tcPr>
            <w:tcW w:w="658" w:type="dxa"/>
            <w:tcBorders>
              <w:top w:val="nil"/>
              <w:left w:val="single" w:color="auto" w:sz="8" w:space="0"/>
              <w:bottom w:val="single" w:color="auto" w:sz="4" w:space="0"/>
              <w:right w:val="single" w:color="auto" w:sz="4" w:space="0"/>
            </w:tcBorders>
            <w:shd w:val="clear" w:color="auto" w:fill="auto"/>
            <w:noWrap/>
            <w:vAlign w:val="center"/>
          </w:tcPr>
          <w:p w14:paraId="46F1B251">
            <w:pPr>
              <w:keepNext w:val="0"/>
              <w:keepLines w:val="0"/>
              <w:pageBreakBefore w:val="0"/>
              <w:widowControl/>
              <w:suppressLineNumbers w:val="0"/>
              <w:overflowPunct/>
              <w:bidi w:val="0"/>
              <w:spacing w:before="0" w:beforeAutospacing="0" w:after="0" w:afterAutospacing="0" w:line="360" w:lineRule="auto"/>
              <w:ind w:left="0" w:right="0"/>
              <w:jc w:val="both"/>
              <w:rPr>
                <w:rFonts w:hint="default"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1</w:t>
            </w:r>
          </w:p>
        </w:tc>
        <w:tc>
          <w:tcPr>
            <w:tcW w:w="1095" w:type="dxa"/>
            <w:tcBorders>
              <w:top w:val="nil"/>
              <w:left w:val="nil"/>
              <w:bottom w:val="single" w:color="auto" w:sz="4" w:space="0"/>
              <w:right w:val="single" w:color="auto" w:sz="4" w:space="0"/>
            </w:tcBorders>
            <w:shd w:val="clear" w:color="auto" w:fill="auto"/>
            <w:vAlign w:val="center"/>
          </w:tcPr>
          <w:p w14:paraId="3842A80D">
            <w:pPr>
              <w:keepNext w:val="0"/>
              <w:keepLines w:val="0"/>
              <w:pageBreakBefore w:val="0"/>
              <w:widowControl/>
              <w:suppressLineNumbers w:val="0"/>
              <w:overflowPunct/>
              <w:bidi w:val="0"/>
              <w:spacing w:before="0" w:beforeAutospacing="0" w:after="0" w:afterAutospacing="0" w:line="360" w:lineRule="auto"/>
              <w:ind w:left="0" w:right="0"/>
              <w:jc w:val="left"/>
              <w:rPr>
                <w:rFonts w:hint="default" w:ascii="仿宋_GB2312" w:hAnsi="仿宋_GB2312" w:eastAsia="仿宋_GB2312" w:cs="仿宋_GB2312"/>
                <w:b/>
                <w:bCs/>
                <w:color w:val="auto"/>
                <w:kern w:val="0"/>
                <w:sz w:val="21"/>
                <w:szCs w:val="21"/>
                <w:highlight w:val="none"/>
              </w:rPr>
            </w:pPr>
            <w:r>
              <w:rPr>
                <w:rFonts w:hint="eastAsia" w:ascii="仿宋_GB2312" w:hAnsi="仿宋_GB2312" w:eastAsia="仿宋_GB2312" w:cs="仿宋_GB2312"/>
                <w:b/>
                <w:bCs/>
                <w:color w:val="auto"/>
                <w:kern w:val="0"/>
                <w:sz w:val="21"/>
                <w:szCs w:val="21"/>
                <w:highlight w:val="none"/>
              </w:rPr>
              <w:t>台式电脑</w:t>
            </w:r>
          </w:p>
        </w:tc>
        <w:tc>
          <w:tcPr>
            <w:tcW w:w="4626" w:type="dxa"/>
            <w:tcBorders>
              <w:top w:val="nil"/>
              <w:left w:val="nil"/>
              <w:bottom w:val="single" w:color="auto" w:sz="4" w:space="0"/>
              <w:right w:val="single" w:color="auto" w:sz="4" w:space="0"/>
            </w:tcBorders>
            <w:shd w:val="clear" w:color="auto" w:fill="auto"/>
            <w:noWrap/>
            <w:vAlign w:val="center"/>
          </w:tcPr>
          <w:p w14:paraId="33E68CC7">
            <w:pPr>
              <w:keepNext w:val="0"/>
              <w:keepLines w:val="0"/>
              <w:pageBreakBefore w:val="0"/>
              <w:widowControl/>
              <w:numPr>
                <w:ilvl w:val="0"/>
                <w:numId w:val="0"/>
              </w:numPr>
              <w:suppressLineNumbers w:val="0"/>
              <w:overflowPunct/>
              <w:bidi w:val="0"/>
              <w:spacing w:before="0" w:beforeAutospacing="0" w:after="0" w:afterAutospacing="0" w:line="360" w:lineRule="auto"/>
              <w:ind w:left="0" w:right="0" w:rightChars="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b w:val="0"/>
                <w:bCs w:val="0"/>
                <w:color w:val="auto"/>
                <w:kern w:val="0"/>
                <w:sz w:val="21"/>
                <w:szCs w:val="21"/>
                <w:highlight w:val="none"/>
                <w:lang w:val="en-US" w:eastAsia="zh-CN" w:bidi="ar"/>
              </w:rPr>
              <w:t>▲</w:t>
            </w:r>
            <w:r>
              <w:rPr>
                <w:rFonts w:hint="eastAsia" w:ascii="仿宋_GB2312" w:hAnsi="仿宋_GB2312" w:eastAsia="仿宋_GB2312" w:cs="仿宋_GB2312"/>
                <w:color w:val="auto"/>
                <w:kern w:val="0"/>
                <w:sz w:val="21"/>
                <w:szCs w:val="21"/>
                <w:highlight w:val="none"/>
                <w:lang w:val="en-US"/>
              </w:rPr>
              <w:t>1.</w:t>
            </w:r>
            <w:r>
              <w:rPr>
                <w:rFonts w:hint="eastAsia" w:ascii="仿宋_GB2312" w:hAnsi="仿宋_GB2312" w:eastAsia="仿宋_GB2312" w:cs="仿宋_GB2312"/>
                <w:color w:val="auto"/>
                <w:kern w:val="0"/>
                <w:sz w:val="21"/>
                <w:szCs w:val="21"/>
                <w:highlight w:val="none"/>
                <w:lang w:val="en-US" w:eastAsia="zh-CN"/>
              </w:rPr>
              <w:t>国产品牌全新原厂整机，包含主机、显示器、键鼠全套原装设备，严禁组装机、兼容机、翻新机</w:t>
            </w:r>
            <w:r>
              <w:rPr>
                <w:rFonts w:hint="eastAsia"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eastAsia="zh-CN"/>
              </w:rPr>
              <w:t>供货时需</w:t>
            </w:r>
            <w:r>
              <w:rPr>
                <w:rFonts w:hint="eastAsia" w:ascii="仿宋_GB2312" w:hAnsi="仿宋_GB2312" w:eastAsia="仿宋_GB2312" w:cs="仿宋_GB2312"/>
                <w:color w:val="auto"/>
                <w:kern w:val="0"/>
                <w:sz w:val="21"/>
                <w:szCs w:val="21"/>
                <w:highlight w:val="none"/>
                <w:lang w:val="en-US"/>
              </w:rPr>
              <w:t>提供原厂序列号可查证。</w:t>
            </w:r>
            <w:r>
              <w:rPr>
                <w:rFonts w:hint="eastAsia" w:ascii="仿宋_GB2312" w:hAnsi="仿宋_GB2312" w:eastAsia="仿宋_GB2312" w:cs="仿宋_GB2312"/>
                <w:color w:val="auto"/>
                <w:kern w:val="0"/>
                <w:sz w:val="21"/>
                <w:szCs w:val="21"/>
                <w:highlight w:val="none"/>
                <w:lang w:val="en-US" w:eastAsia="zh-CN"/>
              </w:rPr>
              <w:t>须提供承诺函并加盖原厂公章。</w:t>
            </w:r>
          </w:p>
          <w:p w14:paraId="7CDB7E2D">
            <w:pPr>
              <w:keepNext w:val="0"/>
              <w:keepLines w:val="0"/>
              <w:pageBreakBefore w:val="0"/>
              <w:widowControl/>
              <w:numPr>
                <w:ilvl w:val="0"/>
                <w:numId w:val="0"/>
              </w:numPr>
              <w:suppressLineNumbers w:val="0"/>
              <w:overflowPunct/>
              <w:bidi w:val="0"/>
              <w:spacing w:before="0" w:beforeAutospacing="0" w:after="0" w:afterAutospacing="0" w:line="360" w:lineRule="auto"/>
              <w:ind w:left="0" w:right="0" w:rightChars="0"/>
              <w:jc w:val="left"/>
              <w:rPr>
                <w:rFonts w:hint="default" w:ascii="仿宋_GB2312" w:hAnsi="仿宋_GB2312" w:eastAsia="仿宋_GB2312" w:cs="仿宋_GB2312"/>
                <w:strike w:val="0"/>
                <w:color w:val="auto"/>
                <w:kern w:val="0"/>
                <w:sz w:val="21"/>
                <w:szCs w:val="21"/>
                <w:highlight w:val="none"/>
                <w:lang w:val="en-US" w:eastAsia="zh-CN"/>
              </w:rPr>
            </w:pPr>
            <w:r>
              <w:rPr>
                <w:rFonts w:hint="eastAsia" w:ascii="仿宋_GB2312" w:hAnsi="仿宋_GB2312" w:eastAsia="仿宋_GB2312" w:cs="仿宋_GB2312"/>
                <w:b w:val="0"/>
                <w:bCs w:val="0"/>
                <w:color w:val="auto"/>
                <w:kern w:val="0"/>
                <w:sz w:val="21"/>
                <w:szCs w:val="21"/>
                <w:highlight w:val="none"/>
                <w:lang w:val="en-US" w:eastAsia="zh-CN" w:bidi="ar"/>
              </w:rPr>
              <w:t>▲</w:t>
            </w:r>
            <w:r>
              <w:rPr>
                <w:rFonts w:hint="eastAsia" w:ascii="仿宋_GB2312" w:hAnsi="仿宋_GB2312" w:eastAsia="仿宋_GB2312" w:cs="仿宋_GB2312"/>
                <w:color w:val="auto"/>
                <w:kern w:val="0"/>
                <w:sz w:val="21"/>
                <w:szCs w:val="21"/>
                <w:highlight w:val="none"/>
                <w:lang w:val="en-US" w:eastAsia="zh-CN"/>
              </w:rPr>
              <w:t>2.CPU：非板载CPU，基本频率≥2.5GHz，核心≥10核，线程≥16线程，末级缓存≥20MB，热设计功耗（</w:t>
            </w:r>
            <w:r>
              <w:rPr>
                <w:rFonts w:hint="eastAsia" w:ascii="仿宋_GB2312" w:hAnsi="仿宋_GB2312" w:eastAsia="仿宋_GB2312" w:cs="仿宋_GB2312"/>
                <w:strike w:val="0"/>
                <w:color w:val="auto"/>
                <w:kern w:val="0"/>
                <w:sz w:val="21"/>
                <w:szCs w:val="21"/>
                <w:highlight w:val="none"/>
                <w:lang w:val="en-US" w:eastAsia="zh-CN"/>
              </w:rPr>
              <w:t>基础功耗</w:t>
            </w:r>
            <w:r>
              <w:rPr>
                <w:rFonts w:hint="eastAsia" w:ascii="仿宋_GB2312" w:hAnsi="仿宋_GB2312" w:eastAsia="仿宋_GB2312" w:cs="仿宋_GB2312"/>
                <w:color w:val="auto"/>
                <w:kern w:val="0"/>
                <w:sz w:val="21"/>
                <w:szCs w:val="21"/>
                <w:highlight w:val="none"/>
                <w:lang w:val="en-US" w:eastAsia="zh-CN"/>
              </w:rPr>
              <w:t>）≥65W，（如：I5-14400，I5-14500，Ultra 7 265等）。须提供功能截图或官网截图或产品彩页，并加盖原厂公章。</w:t>
            </w:r>
          </w:p>
          <w:p w14:paraId="46C7CA2D">
            <w:pPr>
              <w:keepNext w:val="0"/>
              <w:keepLines w:val="0"/>
              <w:pageBreakBefore w:val="0"/>
              <w:widowControl/>
              <w:numPr>
                <w:ilvl w:val="0"/>
                <w:numId w:val="0"/>
              </w:numPr>
              <w:suppressLineNumbers w:val="0"/>
              <w:overflowPunct/>
              <w:bidi w:val="0"/>
              <w:spacing w:before="0" w:beforeAutospacing="0" w:after="0" w:afterAutospacing="0" w:line="360" w:lineRule="auto"/>
              <w:ind w:left="0" w:right="0" w:rightChars="0"/>
              <w:jc w:val="left"/>
              <w:rPr>
                <w:rFonts w:hint="default" w:ascii="仿宋_GB2312" w:hAnsi="仿宋_GB2312" w:eastAsia="仿宋_GB2312" w:cs="仿宋_GB2312"/>
                <w:color w:val="auto"/>
                <w:kern w:val="0"/>
                <w:sz w:val="21"/>
                <w:szCs w:val="21"/>
                <w:highlight w:val="none"/>
                <w:lang w:val="en-US"/>
              </w:rPr>
            </w:pPr>
            <w:r>
              <w:rPr>
                <w:rFonts w:hint="eastAsia" w:ascii="仿宋_GB2312" w:hAnsi="仿宋_GB2312" w:eastAsia="仿宋_GB2312" w:cs="仿宋_GB2312"/>
                <w:b w:val="0"/>
                <w:bCs w:val="0"/>
                <w:color w:val="auto"/>
                <w:kern w:val="0"/>
                <w:sz w:val="21"/>
                <w:szCs w:val="21"/>
                <w:highlight w:val="none"/>
                <w:lang w:val="en-US" w:eastAsia="zh-CN" w:bidi="ar"/>
              </w:rPr>
              <w:t>▲</w:t>
            </w:r>
            <w:r>
              <w:rPr>
                <w:rFonts w:hint="eastAsia" w:ascii="仿宋_GB2312" w:hAnsi="仿宋_GB2312" w:eastAsia="仿宋_GB2312" w:cs="仿宋_GB2312"/>
                <w:color w:val="auto"/>
                <w:kern w:val="0"/>
                <w:sz w:val="21"/>
                <w:szCs w:val="21"/>
                <w:highlight w:val="none"/>
                <w:lang w:val="en-US" w:eastAsia="zh-CN"/>
              </w:rPr>
              <w:t>3</w:t>
            </w:r>
            <w:r>
              <w:rPr>
                <w:rFonts w:hint="default"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rPr>
              <w:t>内存：非板载</w:t>
            </w:r>
            <w:r>
              <w:rPr>
                <w:rFonts w:hint="eastAsia" w:ascii="仿宋_GB2312" w:hAnsi="仿宋_GB2312" w:eastAsia="仿宋_GB2312" w:cs="仿宋_GB2312"/>
                <w:color w:val="auto"/>
                <w:kern w:val="0"/>
                <w:sz w:val="21"/>
                <w:szCs w:val="21"/>
                <w:highlight w:val="none"/>
                <w:lang w:val="en-US" w:eastAsia="zh-CN"/>
              </w:rPr>
              <w:t>内存，不低于</w:t>
            </w:r>
            <w:r>
              <w:rPr>
                <w:rFonts w:hint="eastAsia" w:ascii="仿宋_GB2312" w:hAnsi="仿宋_GB2312" w:eastAsia="仿宋_GB2312" w:cs="仿宋_GB2312"/>
                <w:color w:val="auto"/>
                <w:kern w:val="0"/>
                <w:sz w:val="21"/>
                <w:szCs w:val="21"/>
                <w:highlight w:val="none"/>
                <w:lang w:val="en-US"/>
              </w:rPr>
              <w:t>16GB DDR5</w:t>
            </w:r>
            <w:r>
              <w:rPr>
                <w:rFonts w:hint="eastAsia" w:ascii="仿宋_GB2312" w:hAnsi="仿宋_GB2312" w:eastAsia="仿宋_GB2312" w:cs="仿宋_GB2312"/>
                <w:color w:val="auto"/>
                <w:kern w:val="0"/>
                <w:sz w:val="21"/>
                <w:szCs w:val="21"/>
                <w:highlight w:val="none"/>
                <w:lang w:val="en-US" w:eastAsia="zh-CN"/>
              </w:rPr>
              <w:t xml:space="preserve"> 4800MHz，</w:t>
            </w:r>
            <w:r>
              <w:rPr>
                <w:rFonts w:hint="eastAsia" w:ascii="仿宋_GB2312" w:hAnsi="仿宋_GB2312" w:eastAsia="仿宋_GB2312" w:cs="仿宋_GB2312"/>
                <w:color w:val="auto"/>
                <w:kern w:val="0"/>
                <w:sz w:val="21"/>
                <w:szCs w:val="21"/>
                <w:highlight w:val="none"/>
                <w:lang w:val="en-US" w:eastAsia="zh-CN" w:bidi="ar"/>
              </w:rPr>
              <w:t>至少2个插槽</w:t>
            </w:r>
            <w:r>
              <w:rPr>
                <w:rFonts w:hint="eastAsia" w:ascii="仿宋_GB2312" w:hAnsi="仿宋_GB2312" w:eastAsia="仿宋_GB2312" w:cs="仿宋_GB2312"/>
                <w:color w:val="auto"/>
                <w:kern w:val="0"/>
                <w:sz w:val="21"/>
                <w:szCs w:val="21"/>
                <w:highlight w:val="none"/>
                <w:lang w:val="en-US" w:eastAsia="zh-CN"/>
              </w:rPr>
              <w:t>。须提供功能截图或官网截图或产品彩页，并加盖原厂公章。</w:t>
            </w:r>
          </w:p>
          <w:p w14:paraId="1A034FA9">
            <w:pPr>
              <w:keepNext w:val="0"/>
              <w:keepLines w:val="0"/>
              <w:pageBreakBefore w:val="0"/>
              <w:widowControl/>
              <w:numPr>
                <w:ilvl w:val="0"/>
                <w:numId w:val="0"/>
              </w:numPr>
              <w:suppressLineNumbers w:val="0"/>
              <w:overflowPunct/>
              <w:bidi w:val="0"/>
              <w:spacing w:before="0" w:beforeAutospacing="0" w:after="0" w:afterAutospacing="0" w:line="360" w:lineRule="auto"/>
              <w:ind w:left="0" w:right="0" w:rightChars="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b w:val="0"/>
                <w:bCs w:val="0"/>
                <w:color w:val="auto"/>
                <w:kern w:val="0"/>
                <w:sz w:val="21"/>
                <w:szCs w:val="21"/>
                <w:highlight w:val="none"/>
                <w:lang w:val="en-US" w:eastAsia="zh-CN" w:bidi="ar"/>
              </w:rPr>
              <w:t>▲</w:t>
            </w:r>
            <w:r>
              <w:rPr>
                <w:rFonts w:hint="eastAsia" w:ascii="仿宋_GB2312" w:hAnsi="仿宋_GB2312" w:eastAsia="仿宋_GB2312" w:cs="仿宋_GB2312"/>
                <w:color w:val="auto"/>
                <w:kern w:val="0"/>
                <w:sz w:val="21"/>
                <w:szCs w:val="21"/>
                <w:highlight w:val="none"/>
                <w:lang w:val="en-US" w:eastAsia="zh-CN"/>
              </w:rPr>
              <w:t>4</w:t>
            </w:r>
            <w:r>
              <w:rPr>
                <w:rFonts w:hint="default"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rPr>
              <w:t>硬盘：</w:t>
            </w:r>
            <w:r>
              <w:rPr>
                <w:rFonts w:hint="eastAsia" w:ascii="仿宋_GB2312" w:hAnsi="仿宋_GB2312" w:eastAsia="仿宋_GB2312" w:cs="仿宋_GB2312"/>
                <w:color w:val="auto"/>
                <w:kern w:val="0"/>
                <w:sz w:val="21"/>
                <w:szCs w:val="21"/>
                <w:highlight w:val="none"/>
                <w:lang w:val="en-US" w:eastAsia="zh-CN"/>
              </w:rPr>
              <w:t>非板载硬盘，不低于</w:t>
            </w:r>
            <w:r>
              <w:rPr>
                <w:rFonts w:hint="eastAsia" w:ascii="仿宋_GB2312" w:hAnsi="仿宋_GB2312" w:eastAsia="仿宋_GB2312" w:cs="仿宋_GB2312"/>
                <w:color w:val="auto"/>
                <w:kern w:val="0"/>
                <w:sz w:val="21"/>
                <w:szCs w:val="21"/>
                <w:highlight w:val="none"/>
                <w:lang w:val="en-US"/>
              </w:rPr>
              <w:t>512GB SSD</w:t>
            </w:r>
            <w:r>
              <w:rPr>
                <w:rFonts w:hint="default"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rPr>
              <w:t>预装正版</w:t>
            </w:r>
            <w:r>
              <w:rPr>
                <w:rFonts w:hint="eastAsia" w:ascii="仿宋_GB2312" w:hAnsi="仿宋_GB2312" w:eastAsia="仿宋_GB2312" w:cs="仿宋_GB2312"/>
                <w:color w:val="auto"/>
                <w:kern w:val="0"/>
                <w:sz w:val="21"/>
                <w:szCs w:val="21"/>
                <w:highlight w:val="none"/>
                <w:lang w:val="en-US" w:eastAsia="zh-CN"/>
              </w:rPr>
              <w:t>Windows</w:t>
            </w:r>
            <w:r>
              <w:rPr>
                <w:rFonts w:hint="eastAsia" w:ascii="仿宋_GB2312" w:hAnsi="仿宋_GB2312" w:eastAsia="仿宋_GB2312" w:cs="仿宋_GB2312"/>
                <w:color w:val="auto"/>
                <w:kern w:val="0"/>
                <w:sz w:val="21"/>
                <w:szCs w:val="21"/>
                <w:highlight w:val="none"/>
                <w:lang w:val="en-US"/>
              </w:rPr>
              <w:t>系统</w:t>
            </w:r>
            <w:r>
              <w:rPr>
                <w:rFonts w:hint="eastAsia" w:ascii="仿宋_GB2312" w:hAnsi="仿宋_GB2312" w:eastAsia="仿宋_GB2312" w:cs="仿宋_GB2312"/>
                <w:color w:val="auto"/>
                <w:kern w:val="0"/>
                <w:sz w:val="21"/>
                <w:szCs w:val="21"/>
                <w:highlight w:val="none"/>
                <w:lang w:val="en-US" w:eastAsia="zh-CN"/>
              </w:rPr>
              <w:t>。须提供功能截图或官网截图或产品彩页，并加盖原厂公章。</w:t>
            </w:r>
          </w:p>
          <w:p w14:paraId="507D4B27">
            <w:pPr>
              <w:keepNext w:val="0"/>
              <w:keepLines w:val="0"/>
              <w:pageBreakBefore w:val="0"/>
              <w:widowControl/>
              <w:numPr>
                <w:ilvl w:val="0"/>
                <w:numId w:val="0"/>
              </w:numPr>
              <w:suppressLineNumbers w:val="0"/>
              <w:overflowPunct/>
              <w:bidi w:val="0"/>
              <w:spacing w:before="0" w:beforeAutospacing="0" w:after="0" w:afterAutospacing="0" w:line="360" w:lineRule="auto"/>
              <w:ind w:left="0" w:right="0" w:rightChars="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5</w:t>
            </w:r>
            <w:r>
              <w:rPr>
                <w:rFonts w:hint="default" w:ascii="仿宋_GB2312" w:hAnsi="仿宋_GB2312" w:eastAsia="仿宋_GB2312" w:cs="仿宋_GB2312"/>
                <w:color w:val="auto"/>
                <w:kern w:val="0"/>
                <w:sz w:val="21"/>
                <w:szCs w:val="21"/>
                <w:highlight w:val="none"/>
                <w:lang w:val="en-US"/>
              </w:rPr>
              <w:t>.主板：兼容适配处理器主板</w:t>
            </w:r>
            <w:r>
              <w:rPr>
                <w:rFonts w:hint="eastAsia" w:ascii="仿宋_GB2312" w:hAnsi="仿宋_GB2312" w:eastAsia="仿宋_GB2312" w:cs="仿宋_GB2312"/>
                <w:color w:val="auto"/>
                <w:kern w:val="0"/>
                <w:sz w:val="21"/>
                <w:szCs w:val="21"/>
                <w:highlight w:val="none"/>
                <w:lang w:val="en-US" w:eastAsia="zh-CN"/>
              </w:rPr>
              <w:t>。</w:t>
            </w:r>
          </w:p>
          <w:p w14:paraId="6DD964BD">
            <w:pPr>
              <w:keepNext w:val="0"/>
              <w:keepLines w:val="0"/>
              <w:widowControl/>
              <w:numPr>
                <w:ilvl w:val="0"/>
                <w:numId w:val="0"/>
              </w:numPr>
              <w:suppressLineNumbers w:val="0"/>
              <w:spacing w:before="0" w:beforeAutospacing="0" w:after="0" w:afterAutospacing="0"/>
              <w:ind w:left="0" w:right="0"/>
              <w:jc w:val="left"/>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kern w:val="0"/>
                <w:sz w:val="21"/>
                <w:szCs w:val="21"/>
                <w:highlight w:val="none"/>
                <w:lang w:val="en-US" w:eastAsia="zh-CN"/>
              </w:rPr>
              <w:t>6.显卡：集成显卡或独立显卡。</w:t>
            </w:r>
          </w:p>
          <w:p w14:paraId="532F5C38">
            <w:pPr>
              <w:keepNext w:val="0"/>
              <w:keepLines w:val="0"/>
              <w:pageBreakBefore w:val="0"/>
              <w:widowControl/>
              <w:numPr>
                <w:ilvl w:val="0"/>
                <w:numId w:val="0"/>
              </w:numPr>
              <w:suppressLineNumbers w:val="0"/>
              <w:overflowPunct/>
              <w:bidi w:val="0"/>
              <w:spacing w:before="0" w:beforeAutospacing="0" w:after="0" w:afterAutospacing="0" w:line="360" w:lineRule="auto"/>
              <w:ind w:left="0" w:right="0" w:rightChars="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eastAsia="zh-CN"/>
              </w:rPr>
              <w:t>7.</w:t>
            </w:r>
            <w:r>
              <w:rPr>
                <w:rFonts w:hint="default" w:ascii="仿宋_GB2312" w:hAnsi="仿宋_GB2312" w:eastAsia="仿宋_GB2312" w:cs="仿宋_GB2312"/>
                <w:color w:val="auto"/>
                <w:kern w:val="0"/>
                <w:sz w:val="21"/>
                <w:szCs w:val="21"/>
                <w:highlight w:val="none"/>
                <w:lang w:val="en-US"/>
              </w:rPr>
              <w:t>显示器</w:t>
            </w:r>
            <w:r>
              <w:rPr>
                <w:rFonts w:hint="eastAsia" w:ascii="仿宋_GB2312" w:hAnsi="仿宋_GB2312" w:eastAsia="仿宋_GB2312" w:cs="仿宋_GB2312"/>
                <w:color w:val="auto"/>
                <w:kern w:val="0"/>
                <w:sz w:val="21"/>
                <w:szCs w:val="21"/>
                <w:highlight w:val="none"/>
                <w:lang w:val="en-US" w:eastAsia="zh-CN"/>
              </w:rPr>
              <w:t>：</w:t>
            </w:r>
            <w:r>
              <w:rPr>
                <w:rFonts w:hint="default" w:ascii="仿宋_GB2312" w:hAnsi="仿宋_GB2312" w:eastAsia="仿宋_GB2312" w:cs="仿宋_GB2312"/>
                <w:color w:val="auto"/>
                <w:kern w:val="0"/>
                <w:sz w:val="21"/>
                <w:szCs w:val="21"/>
                <w:highlight w:val="none"/>
                <w:lang w:val="en-US"/>
              </w:rPr>
              <w:t>27″宽屏液晶显示器，分辨率 ≥1920×1080，接口：HDMI + VGA（双接口输入），与主机同品牌</w:t>
            </w:r>
            <w:r>
              <w:rPr>
                <w:rFonts w:hint="eastAsia" w:ascii="仿宋_GB2312" w:hAnsi="仿宋_GB2312" w:eastAsia="仿宋_GB2312" w:cs="仿宋_GB2312"/>
                <w:color w:val="auto"/>
                <w:kern w:val="0"/>
                <w:sz w:val="21"/>
                <w:szCs w:val="21"/>
                <w:highlight w:val="none"/>
                <w:lang w:val="en-US" w:eastAsia="zh-CN"/>
              </w:rPr>
              <w:t>。须提供功能截图或官网截图或产品彩页，并加盖原厂公章。</w:t>
            </w:r>
          </w:p>
          <w:p w14:paraId="0D5F36B9">
            <w:pPr>
              <w:keepNext w:val="0"/>
              <w:keepLines w:val="0"/>
              <w:widowControl/>
              <w:numPr>
                <w:ilvl w:val="0"/>
                <w:numId w:val="0"/>
              </w:numPr>
              <w:suppressLineNumbers w:val="0"/>
              <w:spacing w:before="0" w:beforeAutospacing="0" w:after="0" w:afterAutospacing="0"/>
              <w:ind w:left="0" w:right="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eastAsia="zh-CN"/>
              </w:rPr>
              <w:t>8.</w:t>
            </w:r>
            <w:r>
              <w:rPr>
                <w:rFonts w:hint="eastAsia" w:ascii="仿宋_GB2312" w:hAnsi="仿宋_GB2312" w:eastAsia="仿宋_GB2312" w:cs="仿宋_GB2312"/>
                <w:color w:val="auto"/>
                <w:kern w:val="0"/>
                <w:sz w:val="21"/>
                <w:szCs w:val="21"/>
                <w:highlight w:val="none"/>
                <w:lang w:val="en-US"/>
              </w:rPr>
              <w:t>机箱</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lang w:val="en-US"/>
              </w:rPr>
              <w:t>体积</w:t>
            </w:r>
            <w:r>
              <w:rPr>
                <w:rFonts w:hint="eastAsia" w:ascii="仿宋_GB2312" w:hAnsi="仿宋_GB2312" w:eastAsia="仿宋_GB2312" w:cs="仿宋_GB2312"/>
                <w:color w:val="auto"/>
                <w:kern w:val="0"/>
                <w:sz w:val="21"/>
                <w:szCs w:val="21"/>
                <w:highlight w:val="none"/>
                <w:lang w:val="en-US" w:eastAsia="zh-CN"/>
              </w:rPr>
              <w:t>8</w:t>
            </w:r>
            <w:r>
              <w:rPr>
                <w:rFonts w:hint="eastAsia" w:ascii="仿宋_GB2312" w:hAnsi="仿宋_GB2312" w:eastAsia="仿宋_GB2312" w:cs="仿宋_GB2312"/>
                <w:color w:val="auto"/>
                <w:kern w:val="0"/>
                <w:sz w:val="21"/>
                <w:szCs w:val="21"/>
                <w:highlight w:val="none"/>
                <w:lang w:val="en-US"/>
              </w:rPr>
              <w:t>L–</w:t>
            </w:r>
            <w:r>
              <w:rPr>
                <w:rFonts w:hint="eastAsia" w:ascii="仿宋_GB2312" w:hAnsi="仿宋_GB2312" w:eastAsia="仿宋_GB2312" w:cs="仿宋_GB2312"/>
                <w:color w:val="auto"/>
                <w:kern w:val="0"/>
                <w:sz w:val="21"/>
                <w:szCs w:val="21"/>
                <w:highlight w:val="none"/>
                <w:lang w:val="en-US" w:eastAsia="zh-CN"/>
              </w:rPr>
              <w:t>10</w:t>
            </w:r>
            <w:r>
              <w:rPr>
                <w:rFonts w:hint="eastAsia" w:ascii="仿宋_GB2312" w:hAnsi="仿宋_GB2312" w:eastAsia="仿宋_GB2312" w:cs="仿宋_GB2312"/>
                <w:color w:val="auto"/>
                <w:kern w:val="0"/>
                <w:sz w:val="21"/>
                <w:szCs w:val="21"/>
                <w:highlight w:val="none"/>
                <w:lang w:val="en-US"/>
              </w:rPr>
              <w:t>L</w:t>
            </w:r>
            <w:r>
              <w:rPr>
                <w:rFonts w:hint="eastAsia" w:ascii="仿宋_GB2312" w:hAnsi="仿宋_GB2312" w:eastAsia="仿宋_GB2312" w:cs="仿宋_GB2312"/>
                <w:color w:val="auto"/>
                <w:kern w:val="0"/>
                <w:sz w:val="21"/>
                <w:szCs w:val="21"/>
                <w:highlight w:val="none"/>
                <w:lang w:val="en-US" w:eastAsia="zh-CN"/>
              </w:rPr>
              <w:t>区间。须提供功能截图或官网截图或产品彩页，并加盖原厂公章。</w:t>
            </w:r>
          </w:p>
          <w:p w14:paraId="49260317">
            <w:pPr>
              <w:keepNext w:val="0"/>
              <w:keepLines w:val="0"/>
              <w:widowControl/>
              <w:numPr>
                <w:ilvl w:val="0"/>
                <w:numId w:val="0"/>
              </w:numPr>
              <w:suppressLineNumbers w:val="0"/>
              <w:spacing w:before="0" w:beforeAutospacing="0" w:after="0" w:afterAutospacing="0"/>
              <w:ind w:left="0" w:right="0"/>
              <w:jc w:val="left"/>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eastAsia="zh-CN"/>
              </w:rPr>
              <w:t>9.电源：</w:t>
            </w:r>
            <w:r>
              <w:rPr>
                <w:rFonts w:hint="eastAsia" w:ascii="仿宋_GB2312" w:hAnsi="仿宋_GB2312" w:eastAsia="仿宋_GB2312" w:cs="仿宋_GB2312"/>
                <w:strike w:val="0"/>
                <w:color w:val="auto"/>
                <w:kern w:val="0"/>
                <w:sz w:val="21"/>
                <w:szCs w:val="21"/>
                <w:highlight w:val="none"/>
                <w:lang w:val="en-US" w:eastAsia="zh-CN"/>
              </w:rPr>
              <w:t>≥300W</w:t>
            </w:r>
            <w:r>
              <w:rPr>
                <w:rFonts w:hint="eastAsia" w:ascii="仿宋_GB2312" w:hAnsi="仿宋_GB2312" w:eastAsia="仿宋_GB2312" w:cs="仿宋_GB2312"/>
                <w:color w:val="auto"/>
                <w:kern w:val="0"/>
                <w:sz w:val="21"/>
                <w:szCs w:val="21"/>
                <w:highlight w:val="none"/>
                <w:lang w:val="en-US" w:eastAsia="zh-CN"/>
              </w:rPr>
              <w:t>。须提供功能截图或官网截图或产品彩页，并加盖原厂公章。</w:t>
            </w:r>
          </w:p>
          <w:p w14:paraId="4847302B">
            <w:pPr>
              <w:keepNext w:val="0"/>
              <w:keepLines w:val="0"/>
              <w:pageBreakBefore w:val="0"/>
              <w:widowControl/>
              <w:numPr>
                <w:ilvl w:val="0"/>
                <w:numId w:val="0"/>
              </w:numPr>
              <w:suppressLineNumbers w:val="0"/>
              <w:overflowPunct/>
              <w:bidi w:val="0"/>
              <w:spacing w:before="0" w:beforeAutospacing="0" w:after="0" w:afterAutospacing="0" w:line="360" w:lineRule="auto"/>
              <w:ind w:left="0" w:right="0" w:rightChars="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10</w:t>
            </w:r>
            <w:r>
              <w:rPr>
                <w:rFonts w:hint="default"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rPr>
              <w:t>接口：千兆自适应网卡（RJ45）</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lang w:val="en-US"/>
              </w:rPr>
              <w:t>不少于4 个 USB 3.2/3.1 </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lang w:val="en-US"/>
              </w:rPr>
              <w:t>Type-C</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lang w:val="en-US"/>
              </w:rPr>
              <w:t>HDMI 2.1 TMDS</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lang w:val="en-US"/>
              </w:rPr>
              <w:t>WiFi6无线网卡</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lang w:val="en-US"/>
              </w:rPr>
              <w:t>≥5.0蓝牙</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lang w:val="en-US"/>
              </w:rPr>
              <w:t>耳机及麦克风音频接口</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lang w:val="en-US"/>
              </w:rPr>
              <w:t>VGA或DP视频接口</w:t>
            </w:r>
            <w:r>
              <w:rPr>
                <w:rFonts w:hint="eastAsia" w:ascii="仿宋_GB2312" w:hAnsi="仿宋_GB2312" w:eastAsia="仿宋_GB2312" w:cs="仿宋_GB2312"/>
                <w:color w:val="auto"/>
                <w:kern w:val="0"/>
                <w:sz w:val="21"/>
                <w:szCs w:val="21"/>
                <w:highlight w:val="none"/>
                <w:lang w:val="en-US" w:eastAsia="zh-CN"/>
              </w:rPr>
              <w:t>等。</w:t>
            </w:r>
          </w:p>
          <w:p w14:paraId="0519C1DD">
            <w:pPr>
              <w:keepNext w:val="0"/>
              <w:keepLines w:val="0"/>
              <w:pageBreakBefore w:val="0"/>
              <w:widowControl/>
              <w:numPr>
                <w:ilvl w:val="0"/>
                <w:numId w:val="0"/>
              </w:numPr>
              <w:suppressLineNumbers w:val="0"/>
              <w:overflowPunct/>
              <w:bidi w:val="0"/>
              <w:spacing w:before="0" w:beforeAutospacing="0" w:after="0" w:afterAutospacing="0" w:line="360" w:lineRule="auto"/>
              <w:ind w:left="0" w:right="0" w:rightChars="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eastAsia="zh-CN"/>
              </w:rPr>
              <w:t>11</w:t>
            </w:r>
            <w:r>
              <w:rPr>
                <w:rFonts w:hint="default" w:ascii="仿宋_GB2312" w:hAnsi="仿宋_GB2312" w:eastAsia="仿宋_GB2312" w:cs="仿宋_GB2312"/>
                <w:color w:val="auto"/>
                <w:kern w:val="0"/>
                <w:sz w:val="21"/>
                <w:szCs w:val="21"/>
                <w:highlight w:val="none"/>
                <w:lang w:val="en-US"/>
              </w:rPr>
              <w:t>.BIOS 管控</w:t>
            </w:r>
            <w:r>
              <w:rPr>
                <w:rFonts w:hint="eastAsia" w:ascii="仿宋_GB2312" w:hAnsi="仿宋_GB2312" w:eastAsia="仿宋_GB2312" w:cs="仿宋_GB2312"/>
                <w:color w:val="auto"/>
                <w:kern w:val="0"/>
                <w:sz w:val="21"/>
                <w:szCs w:val="21"/>
                <w:highlight w:val="none"/>
                <w:lang w:val="en-US" w:eastAsia="zh-CN"/>
              </w:rPr>
              <w:t>：① 禁用以太网口（有线网卡）；② 禁用无线网（WiFi）；③ 禁用 USB 接口；④ 设置 BIOS 管理密码。须提供功能截图或官网截图或产品彩页，并加盖原厂公章。</w:t>
            </w:r>
          </w:p>
          <w:p w14:paraId="75CEBC5A">
            <w:pPr>
              <w:keepNext w:val="0"/>
              <w:keepLines w:val="0"/>
              <w:widowControl/>
              <w:numPr>
                <w:ilvl w:val="0"/>
                <w:numId w:val="0"/>
              </w:numPr>
              <w:suppressLineNumbers w:val="0"/>
              <w:spacing w:before="0" w:beforeAutospacing="0" w:after="0" w:afterAutospacing="0"/>
              <w:ind w:left="0" w:right="0"/>
              <w:jc w:val="left"/>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kern w:val="0"/>
                <w:sz w:val="21"/>
                <w:szCs w:val="21"/>
                <w:highlight w:val="none"/>
                <w:lang w:val="en-US" w:eastAsia="zh-CN"/>
              </w:rPr>
              <w:t>12</w:t>
            </w:r>
            <w:r>
              <w:rPr>
                <w:rFonts w:hint="default"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rPr>
              <w:t>外设：原装有线键盘、有线鼠标、电源线、鼠标垫等</w:t>
            </w:r>
            <w:r>
              <w:rPr>
                <w:rFonts w:hint="eastAsia" w:ascii="仿宋_GB2312" w:hAnsi="仿宋_GB2312" w:eastAsia="仿宋_GB2312" w:cs="仿宋_GB2312"/>
                <w:color w:val="auto"/>
                <w:kern w:val="0"/>
                <w:sz w:val="21"/>
                <w:szCs w:val="21"/>
                <w:highlight w:val="none"/>
                <w:lang w:val="en-US" w:eastAsia="zh-CN"/>
              </w:rPr>
              <w:t>。</w:t>
            </w:r>
          </w:p>
          <w:p w14:paraId="728AFDE3">
            <w:pPr>
              <w:keepNext w:val="0"/>
              <w:keepLines w:val="0"/>
              <w:pageBreakBefore w:val="0"/>
              <w:widowControl/>
              <w:numPr>
                <w:ilvl w:val="0"/>
                <w:numId w:val="0"/>
              </w:numPr>
              <w:suppressLineNumbers w:val="0"/>
              <w:overflowPunct/>
              <w:bidi w:val="0"/>
              <w:spacing w:before="0" w:beforeAutospacing="0" w:after="0" w:afterAutospacing="0" w:line="360" w:lineRule="auto"/>
              <w:ind w:left="0" w:right="0" w:rightChars="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eastAsia="zh-CN"/>
              </w:rPr>
              <w:t>13</w:t>
            </w:r>
            <w:r>
              <w:rPr>
                <w:rFonts w:hint="default" w:ascii="仿宋_GB2312" w:hAnsi="仿宋_GB2312" w:eastAsia="仿宋_GB2312" w:cs="仿宋_GB2312"/>
                <w:color w:val="auto"/>
                <w:kern w:val="0"/>
                <w:sz w:val="21"/>
                <w:szCs w:val="21"/>
                <w:highlight w:val="none"/>
                <w:lang w:val="en-US"/>
              </w:rPr>
              <w:t>.质保服务</w:t>
            </w:r>
            <w:r>
              <w:rPr>
                <w:rFonts w:hint="eastAsia" w:ascii="仿宋_GB2312" w:hAnsi="仿宋_GB2312" w:eastAsia="仿宋_GB2312" w:cs="仿宋_GB2312"/>
                <w:color w:val="auto"/>
                <w:kern w:val="0"/>
                <w:sz w:val="21"/>
                <w:szCs w:val="21"/>
                <w:highlight w:val="none"/>
                <w:lang w:val="en-US" w:eastAsia="zh-CN"/>
              </w:rPr>
              <w:t>：整机（鼠标、键盘除外）≥3年原厂质保；三年内硬盘故障更换时，旧硬盘由采购人留存、不回收（数据安全要求）。须提供服务承诺函，并加盖原厂公章。</w:t>
            </w:r>
          </w:p>
          <w:p w14:paraId="6AF754F2">
            <w:pPr>
              <w:keepNext w:val="0"/>
              <w:keepLines w:val="0"/>
              <w:pageBreakBefore w:val="0"/>
              <w:widowControl/>
              <w:numPr>
                <w:ilvl w:val="0"/>
                <w:numId w:val="0"/>
              </w:numPr>
              <w:suppressLineNumbers w:val="0"/>
              <w:overflowPunct/>
              <w:bidi w:val="0"/>
              <w:spacing w:before="0" w:beforeAutospacing="0" w:after="0" w:afterAutospacing="0" w:line="360" w:lineRule="auto"/>
              <w:ind w:left="0" w:right="0" w:rightChars="0"/>
              <w:jc w:val="left"/>
              <w:rPr>
                <w:rFonts w:hint="default" w:ascii="仿宋_GB2312" w:hAnsi="仿宋_GB2312" w:eastAsia="仿宋_GB2312" w:cs="仿宋_GB2312"/>
                <w:color w:val="auto"/>
                <w:sz w:val="21"/>
                <w:szCs w:val="21"/>
                <w:highlight w:val="none"/>
                <w:lang w:val="en-US" w:eastAsia="zh-CN"/>
              </w:rPr>
            </w:pPr>
            <w:r>
              <w:rPr>
                <w:rFonts w:hint="default" w:ascii="仿宋_GB2312" w:hAnsi="仿宋_GB2312" w:eastAsia="仿宋_GB2312" w:cs="仿宋_GB2312"/>
                <w:color w:val="auto"/>
                <w:kern w:val="0"/>
                <w:sz w:val="21"/>
                <w:szCs w:val="21"/>
                <w:highlight w:val="none"/>
                <w:lang w:val="en-US" w:eastAsia="zh-CN"/>
              </w:rPr>
              <w:t>1</w:t>
            </w:r>
            <w:r>
              <w:rPr>
                <w:rFonts w:hint="eastAsia" w:ascii="仿宋_GB2312" w:hAnsi="仿宋_GB2312" w:eastAsia="仿宋_GB2312" w:cs="仿宋_GB2312"/>
                <w:color w:val="auto"/>
                <w:kern w:val="0"/>
                <w:sz w:val="21"/>
                <w:szCs w:val="21"/>
                <w:highlight w:val="none"/>
                <w:lang w:val="en-US" w:eastAsia="zh-CN"/>
              </w:rPr>
              <w:t>4</w:t>
            </w:r>
            <w:r>
              <w:rPr>
                <w:rFonts w:hint="default"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lang w:val="en-US"/>
              </w:rPr>
              <w:t>能效：</w:t>
            </w:r>
            <w:r>
              <w:rPr>
                <w:rFonts w:hint="eastAsia" w:ascii="仿宋_GB2312" w:hAnsi="仿宋_GB2312" w:eastAsia="仿宋_GB2312" w:cs="仿宋_GB2312"/>
                <w:color w:val="auto"/>
                <w:kern w:val="0"/>
                <w:sz w:val="21"/>
                <w:szCs w:val="21"/>
                <w:highlight w:val="none"/>
                <w:lang w:val="en-US" w:eastAsia="zh-CN"/>
              </w:rPr>
              <w:t>整机能效等级不低于中国能效标识2级，须提供节能证书并加盖原厂公章。</w:t>
            </w:r>
          </w:p>
        </w:tc>
        <w:tc>
          <w:tcPr>
            <w:tcW w:w="834" w:type="dxa"/>
            <w:tcBorders>
              <w:top w:val="nil"/>
              <w:left w:val="nil"/>
              <w:bottom w:val="single" w:color="auto" w:sz="4" w:space="0"/>
              <w:right w:val="single" w:color="auto" w:sz="4" w:space="0"/>
            </w:tcBorders>
            <w:vAlign w:val="center"/>
          </w:tcPr>
          <w:p w14:paraId="39941B1F">
            <w:pPr>
              <w:keepNext w:val="0"/>
              <w:keepLines w:val="0"/>
              <w:pageBreakBefore w:val="0"/>
              <w:widowControl/>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48</w:t>
            </w:r>
          </w:p>
        </w:tc>
      </w:tr>
    </w:tbl>
    <w:p w14:paraId="06332506">
      <w:pPr>
        <w:keepNext w:val="0"/>
        <w:keepLines w:val="0"/>
        <w:pageBreakBefore w:val="0"/>
        <w:numPr>
          <w:ilvl w:val="-1"/>
          <w:numId w:val="0"/>
        </w:numPr>
        <w:overflowPunct/>
        <w:bidi w:val="0"/>
        <w:spacing w:line="360" w:lineRule="auto"/>
        <w:ind w:firstLine="560" w:firstLineChars="200"/>
        <w:rPr>
          <w:rFonts w:hint="eastAsia" w:ascii="仿宋_GB2312" w:hAnsi="仿宋_GB2312" w:eastAsia="仿宋_GB2312" w:cs="仿宋_GB2312"/>
          <w:color w:val="auto"/>
          <w:kern w:val="2"/>
          <w:sz w:val="28"/>
          <w:szCs w:val="28"/>
          <w:highlight w:val="none"/>
          <w:lang w:val="en-US" w:eastAsia="zh-CN" w:bidi="ar-SA"/>
        </w:rPr>
      </w:pPr>
    </w:p>
    <w:p w14:paraId="5433D138">
      <w:pPr>
        <w:pStyle w:val="2"/>
        <w:spacing w:after="0"/>
        <w:ind w:firstLine="560" w:firstLineChars="200"/>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lang w:val="en-US" w:eastAsia="zh-CN"/>
        </w:rPr>
        <w:t>1.</w:t>
      </w:r>
      <w:r>
        <w:rPr>
          <w:rFonts w:hint="eastAsia" w:ascii="仿宋_GB2312" w:hAnsi="仿宋_GB2312" w:eastAsia="仿宋_GB2312" w:cs="仿宋_GB2312"/>
          <w:b w:val="0"/>
          <w:bCs w:val="0"/>
          <w:color w:val="auto"/>
          <w:sz w:val="28"/>
          <w:szCs w:val="28"/>
          <w:highlight w:val="none"/>
        </w:rPr>
        <w:t>每个投标人仅可选择一个品牌</w:t>
      </w:r>
      <w:r>
        <w:rPr>
          <w:rFonts w:hint="eastAsia" w:ascii="仿宋_GB2312" w:hAnsi="仿宋_GB2312" w:eastAsia="仿宋_GB2312" w:cs="仿宋_GB2312"/>
          <w:b w:val="0"/>
          <w:bCs w:val="0"/>
          <w:color w:val="auto"/>
          <w:sz w:val="28"/>
          <w:szCs w:val="28"/>
          <w:highlight w:val="none"/>
          <w:lang w:val="en-US" w:eastAsia="zh-CN"/>
        </w:rPr>
        <w:t>型号</w:t>
      </w:r>
      <w:r>
        <w:rPr>
          <w:rFonts w:hint="eastAsia" w:ascii="仿宋_GB2312" w:hAnsi="仿宋_GB2312" w:eastAsia="仿宋_GB2312" w:cs="仿宋_GB2312"/>
          <w:b w:val="0"/>
          <w:bCs w:val="0"/>
          <w:color w:val="auto"/>
          <w:sz w:val="28"/>
          <w:szCs w:val="28"/>
          <w:highlight w:val="none"/>
        </w:rPr>
        <w:t>参与本项目投标；</w:t>
      </w:r>
    </w:p>
    <w:p w14:paraId="05E61BFA">
      <w:pPr>
        <w:pStyle w:val="2"/>
        <w:spacing w:after="0"/>
        <w:ind w:firstLine="560" w:firstLineChars="200"/>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lang w:val="en-US" w:eastAsia="zh-CN"/>
        </w:rPr>
        <w:t>2.</w:t>
      </w:r>
      <w:r>
        <w:rPr>
          <w:rFonts w:hint="eastAsia" w:ascii="仿宋_GB2312" w:hAnsi="仿宋_GB2312" w:eastAsia="仿宋_GB2312" w:cs="仿宋_GB2312"/>
          <w:b w:val="0"/>
          <w:bCs w:val="0"/>
          <w:color w:val="auto"/>
          <w:sz w:val="28"/>
          <w:szCs w:val="28"/>
          <w:highlight w:val="none"/>
        </w:rPr>
        <w:t>投标人须提供</w:t>
      </w:r>
      <w:r>
        <w:rPr>
          <w:rFonts w:hint="eastAsia" w:ascii="仿宋_GB2312" w:hAnsi="仿宋_GB2312" w:eastAsia="仿宋_GB2312" w:cs="仿宋_GB2312"/>
          <w:b w:val="0"/>
          <w:bCs w:val="0"/>
          <w:color w:val="auto"/>
          <w:sz w:val="28"/>
          <w:szCs w:val="28"/>
          <w:highlight w:val="none"/>
          <w:lang w:val="en-US" w:eastAsia="zh-CN"/>
        </w:rPr>
        <w:t>所投</w:t>
      </w:r>
      <w:r>
        <w:rPr>
          <w:rFonts w:hint="eastAsia" w:ascii="仿宋_GB2312" w:hAnsi="仿宋_GB2312" w:eastAsia="仿宋_GB2312" w:cs="仿宋_GB2312"/>
          <w:b w:val="0"/>
          <w:bCs w:val="0"/>
          <w:color w:val="auto"/>
          <w:sz w:val="28"/>
          <w:szCs w:val="28"/>
          <w:highlight w:val="none"/>
        </w:rPr>
        <w:t>产品原厂授权书。</w:t>
      </w:r>
    </w:p>
    <w:p w14:paraId="1697DFC7">
      <w:pPr>
        <w:pStyle w:val="2"/>
        <w:spacing w:after="0"/>
        <w:ind w:firstLine="562" w:firstLineChars="200"/>
        <w:rPr>
          <w:rFonts w:hint="eastAsia" w:ascii="仿宋_GB2312" w:hAnsi="仿宋_GB2312" w:eastAsia="仿宋_GB2312" w:cs="仿宋_GB2312"/>
          <w:b/>
          <w:bCs/>
          <w:color w:val="auto"/>
          <w:sz w:val="28"/>
          <w:szCs w:val="28"/>
          <w:highlight w:val="none"/>
          <w:lang w:eastAsia="zh-CN"/>
        </w:rPr>
      </w:pPr>
      <w:r>
        <w:rPr>
          <w:rFonts w:hint="eastAsia" w:ascii="仿宋_GB2312" w:hAnsi="仿宋_GB2312" w:eastAsia="仿宋_GB2312" w:cs="仿宋_GB2312"/>
          <w:b/>
          <w:bCs/>
          <w:color w:val="auto"/>
          <w:sz w:val="28"/>
          <w:szCs w:val="28"/>
          <w:highlight w:val="none"/>
        </w:rPr>
        <w:t>注：上述第1款、第2款和“技术参数及要求”标</w:t>
      </w:r>
      <w:r>
        <w:rPr>
          <w:rFonts w:hint="eastAsia" w:ascii="仿宋_GB2312" w:hAnsi="仿宋_GB2312" w:eastAsia="仿宋_GB2312" w:cs="仿宋_GB2312"/>
          <w:b/>
          <w:bCs/>
          <w:color w:val="auto"/>
          <w:sz w:val="28"/>
          <w:szCs w:val="28"/>
          <w:highlight w:val="none"/>
          <w:lang w:val="en-US" w:eastAsia="zh-CN"/>
        </w:rPr>
        <w:t>▲</w:t>
      </w:r>
      <w:r>
        <w:rPr>
          <w:rFonts w:hint="eastAsia" w:ascii="仿宋_GB2312" w:hAnsi="仿宋_GB2312" w:eastAsia="仿宋_GB2312" w:cs="仿宋_GB2312"/>
          <w:b/>
          <w:bCs/>
          <w:color w:val="auto"/>
          <w:sz w:val="28"/>
          <w:szCs w:val="28"/>
          <w:highlight w:val="none"/>
        </w:rPr>
        <w:t>指标均为不可偏离要求，任意一项不满足或响应不完整的，均按无效投标处理。</w:t>
      </w:r>
    </w:p>
    <w:p w14:paraId="53AA51A4">
      <w:pPr>
        <w:keepNext w:val="0"/>
        <w:keepLines w:val="0"/>
        <w:pageBreakBefore w:val="0"/>
        <w:overflowPunct/>
        <w:bidi w:val="0"/>
        <w:spacing w:line="360" w:lineRule="auto"/>
        <w:ind w:firstLine="560" w:firstLineChars="200"/>
        <w:outlineLvl w:val="1"/>
        <w:rPr>
          <w:rFonts w:hint="eastAsia" w:ascii="仿宋_GB2312" w:hAnsi="仿宋_GB2312" w:eastAsia="仿宋_GB2312" w:cs="仿宋_GB2312"/>
          <w:color w:val="auto"/>
          <w:sz w:val="28"/>
          <w:szCs w:val="28"/>
          <w:highlight w:val="none"/>
          <w:lang w:val="en-US" w:eastAsia="zh-CN"/>
        </w:rPr>
      </w:pPr>
      <w:bookmarkStart w:id="213" w:name="_Toc19926"/>
      <w:bookmarkStart w:id="214" w:name="_Toc30985"/>
      <w:bookmarkStart w:id="215" w:name="_Toc1370"/>
      <w:bookmarkStart w:id="216" w:name="_Toc22311"/>
      <w:bookmarkStart w:id="217" w:name="_Toc14687"/>
      <w:bookmarkStart w:id="218" w:name="_Toc2387"/>
      <w:bookmarkStart w:id="219" w:name="_Toc26687"/>
      <w:bookmarkStart w:id="220" w:name="_Toc29102"/>
      <w:bookmarkStart w:id="221" w:name="_Toc12051"/>
      <w:bookmarkStart w:id="222" w:name="_Toc20008"/>
      <w:bookmarkStart w:id="223" w:name="_Toc8969"/>
      <w:bookmarkStart w:id="224" w:name="_Toc14067"/>
      <w:bookmarkStart w:id="225" w:name="_Toc8166"/>
      <w:bookmarkStart w:id="226" w:name="_Toc12271"/>
      <w:bookmarkStart w:id="227" w:name="_Toc22460"/>
      <w:bookmarkStart w:id="228" w:name="_Toc23037"/>
      <w:bookmarkStart w:id="229" w:name="_Toc18191"/>
      <w:bookmarkStart w:id="230" w:name="_Toc17028"/>
      <w:bookmarkStart w:id="231" w:name="_Toc2578"/>
      <w:bookmarkStart w:id="232" w:name="_Toc20877"/>
      <w:bookmarkStart w:id="233" w:name="_Toc19235"/>
      <w:bookmarkStart w:id="234" w:name="_Toc4481"/>
      <w:bookmarkStart w:id="235" w:name="_Toc11531"/>
      <w:bookmarkStart w:id="236" w:name="_Toc23283"/>
      <w:r>
        <w:rPr>
          <w:rFonts w:hint="eastAsia" w:ascii="仿宋_GB2312" w:hAnsi="仿宋_GB2312" w:eastAsia="仿宋_GB2312" w:cs="仿宋_GB2312"/>
          <w:color w:val="auto"/>
          <w:sz w:val="28"/>
          <w:szCs w:val="28"/>
          <w:highlight w:val="none"/>
          <w:lang w:val="en-US" w:eastAsia="zh-CN"/>
        </w:rPr>
        <w:t>二、实施要求</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32B6AF8D">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人中标并签订合同后，须严格按照实施标准及既定流程开展实施工作，在10个日历天内完成设备供货、操作系统及办公软件的安装、调试工作，确保所有设备正常开机、系统运行稳定、功能完好可用。项目实施完成后，投标人须整理并向招标人交付全套项目文档，包含但不限于设备清单、设备序列号等，保障项目可成功交付。</w:t>
      </w:r>
    </w:p>
    <w:p w14:paraId="314385E7">
      <w:pP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rPr>
        <w:br w:type="page"/>
      </w:r>
    </w:p>
    <w:p w14:paraId="33C1631B">
      <w:pPr>
        <w:pStyle w:val="20"/>
        <w:keepNext w:val="0"/>
        <w:keepLines w:val="0"/>
        <w:pageBreakBefore w:val="0"/>
        <w:overflowPunct/>
        <w:bidi w:val="0"/>
        <w:spacing w:line="360" w:lineRule="auto"/>
        <w:ind w:firstLine="0" w:firstLineChars="0"/>
        <w:jc w:val="center"/>
        <w:outlineLvl w:val="0"/>
        <w:rPr>
          <w:rFonts w:hint="eastAsia" w:ascii="仿宋_GB2312" w:hAnsi="仿宋_GB2312" w:eastAsia="仿宋_GB2312" w:cs="仿宋_GB2312"/>
          <w:b/>
          <w:bCs/>
          <w:color w:val="auto"/>
          <w:sz w:val="28"/>
          <w:szCs w:val="28"/>
          <w:highlight w:val="none"/>
        </w:rPr>
      </w:pPr>
      <w:bookmarkStart w:id="237" w:name="_Toc12689"/>
      <w:bookmarkStart w:id="238" w:name="_Toc25020"/>
      <w:bookmarkStart w:id="239" w:name="_Toc11353"/>
      <w:bookmarkStart w:id="240" w:name="_Toc22020"/>
      <w:bookmarkStart w:id="241" w:name="_Toc18401"/>
      <w:bookmarkStart w:id="242" w:name="_Toc13396"/>
      <w:bookmarkStart w:id="243" w:name="_Toc7344"/>
      <w:bookmarkStart w:id="244" w:name="_Toc4776"/>
      <w:bookmarkStart w:id="245" w:name="_Toc674"/>
      <w:bookmarkStart w:id="246" w:name="_Toc22748"/>
      <w:bookmarkStart w:id="247" w:name="_Toc26462"/>
      <w:bookmarkStart w:id="248" w:name="_Toc24604"/>
      <w:bookmarkStart w:id="249" w:name="_Toc30677"/>
      <w:bookmarkStart w:id="250" w:name="_Toc2147"/>
      <w:bookmarkStart w:id="251" w:name="_Toc11191"/>
      <w:bookmarkStart w:id="252" w:name="_Toc11211"/>
      <w:bookmarkStart w:id="253" w:name="_Toc282"/>
      <w:bookmarkStart w:id="254" w:name="_Toc30179"/>
      <w:bookmarkStart w:id="255" w:name="_Toc22502"/>
      <w:bookmarkStart w:id="256" w:name="_Toc9329"/>
      <w:bookmarkStart w:id="257" w:name="_Toc3090"/>
      <w:bookmarkStart w:id="258" w:name="_Toc1276"/>
      <w:bookmarkStart w:id="259" w:name="_Toc6266"/>
      <w:bookmarkStart w:id="260" w:name="_Toc10380"/>
      <w:r>
        <w:rPr>
          <w:rFonts w:hint="eastAsia" w:ascii="仿宋_GB2312" w:hAnsi="仿宋_GB2312" w:eastAsia="仿宋_GB2312" w:cs="仿宋_GB2312"/>
          <w:b/>
          <w:bCs/>
          <w:color w:val="auto"/>
          <w:sz w:val="28"/>
          <w:szCs w:val="28"/>
          <w:highlight w:val="none"/>
        </w:rPr>
        <w:t>第</w:t>
      </w:r>
      <w:r>
        <w:rPr>
          <w:rFonts w:hint="eastAsia" w:ascii="仿宋_GB2312" w:hAnsi="仿宋_GB2312" w:eastAsia="仿宋_GB2312" w:cs="仿宋_GB2312"/>
          <w:b/>
          <w:bCs/>
          <w:color w:val="auto"/>
          <w:sz w:val="28"/>
          <w:szCs w:val="28"/>
          <w:highlight w:val="none"/>
          <w:lang w:val="en-US" w:eastAsia="zh-CN"/>
        </w:rPr>
        <w:t>三</w:t>
      </w:r>
      <w:r>
        <w:rPr>
          <w:rFonts w:hint="eastAsia" w:ascii="仿宋_GB2312" w:hAnsi="仿宋_GB2312" w:eastAsia="仿宋_GB2312" w:cs="仿宋_GB2312"/>
          <w:b/>
          <w:bCs/>
          <w:color w:val="auto"/>
          <w:sz w:val="28"/>
          <w:szCs w:val="28"/>
          <w:highlight w:val="none"/>
        </w:rPr>
        <w:t>部分</w:t>
      </w:r>
      <w:r>
        <w:rPr>
          <w:rFonts w:hint="eastAsia" w:ascii="仿宋_GB2312" w:hAnsi="仿宋_GB2312" w:eastAsia="仿宋_GB2312" w:cs="仿宋_GB2312"/>
          <w:b/>
          <w:bCs/>
          <w:color w:val="auto"/>
          <w:sz w:val="28"/>
          <w:szCs w:val="28"/>
          <w:highlight w:val="none"/>
          <w:lang w:val="en-US" w:eastAsia="zh-CN"/>
        </w:rPr>
        <w:t xml:space="preserve"> 投标人</w:t>
      </w:r>
      <w:r>
        <w:rPr>
          <w:rFonts w:hint="eastAsia" w:ascii="仿宋_GB2312" w:hAnsi="仿宋_GB2312" w:eastAsia="仿宋_GB2312" w:cs="仿宋_GB2312"/>
          <w:b/>
          <w:bCs/>
          <w:color w:val="auto"/>
          <w:sz w:val="28"/>
          <w:szCs w:val="28"/>
          <w:highlight w:val="none"/>
        </w:rPr>
        <w:t>须知</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31D2037B">
      <w:pPr>
        <w:keepNext w:val="0"/>
        <w:keepLines w:val="0"/>
        <w:pageBreakBefore w:val="0"/>
        <w:overflowPunct/>
        <w:bidi w:val="0"/>
        <w:spacing w:line="360" w:lineRule="auto"/>
        <w:ind w:firstLine="560" w:firstLineChars="200"/>
        <w:outlineLvl w:val="1"/>
        <w:rPr>
          <w:rFonts w:hint="eastAsia" w:ascii="仿宋_GB2312" w:hAnsi="仿宋_GB2312" w:eastAsia="仿宋_GB2312" w:cs="仿宋_GB2312"/>
          <w:color w:val="auto"/>
          <w:sz w:val="28"/>
          <w:szCs w:val="28"/>
          <w:highlight w:val="none"/>
        </w:rPr>
      </w:pPr>
      <w:bookmarkStart w:id="261" w:name="_Toc7902"/>
      <w:bookmarkStart w:id="262" w:name="_Toc17571"/>
      <w:bookmarkStart w:id="263" w:name="_Toc32423"/>
      <w:bookmarkStart w:id="264" w:name="_Toc27984"/>
      <w:bookmarkStart w:id="265" w:name="_Toc14587"/>
      <w:bookmarkStart w:id="266" w:name="_Toc15237"/>
      <w:bookmarkStart w:id="267" w:name="_Toc9884"/>
      <w:bookmarkStart w:id="268" w:name="_Toc2050"/>
      <w:bookmarkStart w:id="269" w:name="_Toc6065"/>
      <w:bookmarkStart w:id="270" w:name="_Toc5599"/>
      <w:bookmarkStart w:id="271" w:name="_Toc6365"/>
      <w:bookmarkStart w:id="272" w:name="_Toc6918"/>
      <w:bookmarkStart w:id="273" w:name="_Toc26106"/>
      <w:bookmarkStart w:id="274" w:name="_Toc16963"/>
      <w:bookmarkStart w:id="275" w:name="_Toc31028"/>
      <w:bookmarkStart w:id="276" w:name="_Toc6692"/>
      <w:bookmarkStart w:id="277" w:name="_Toc15005"/>
      <w:bookmarkStart w:id="278" w:name="_Toc29224"/>
      <w:bookmarkStart w:id="279" w:name="_Toc6662"/>
      <w:bookmarkStart w:id="280" w:name="_Toc21015"/>
      <w:bookmarkStart w:id="281" w:name="_Toc25508"/>
      <w:bookmarkStart w:id="282" w:name="_Toc13955"/>
      <w:bookmarkStart w:id="283" w:name="_Toc11986"/>
      <w:bookmarkStart w:id="284" w:name="_Toc19356"/>
      <w:r>
        <w:rPr>
          <w:rFonts w:hint="eastAsia" w:ascii="仿宋_GB2312" w:hAnsi="仿宋_GB2312" w:eastAsia="仿宋_GB2312" w:cs="仿宋_GB2312"/>
          <w:color w:val="auto"/>
          <w:sz w:val="28"/>
          <w:szCs w:val="28"/>
          <w:highlight w:val="none"/>
        </w:rPr>
        <w:t>一、总则</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149EC200">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（一）适用范围</w:t>
      </w:r>
    </w:p>
    <w:p w14:paraId="3D3FA5F9">
      <w:pPr>
        <w:keepNext w:val="0"/>
        <w:keepLines w:val="0"/>
        <w:pageBreakBefore w:val="0"/>
        <w:overflowPunct/>
        <w:bidi w:val="0"/>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r>
        <w:rPr>
          <w:rFonts w:hint="default" w:ascii="仿宋_GB2312" w:hAnsi="仿宋_GB2312" w:eastAsia="仿宋_GB2312" w:cs="仿宋_GB2312"/>
          <w:color w:val="auto"/>
          <w:sz w:val="28"/>
          <w:szCs w:val="28"/>
          <w:highlight w:val="none"/>
          <w:lang w:val="en-US" w:eastAsia="zh-CN"/>
        </w:rPr>
        <w:t xml:space="preserve"> 本</w:t>
      </w:r>
      <w:r>
        <w:rPr>
          <w:rFonts w:hint="eastAsia" w:ascii="仿宋_GB2312" w:hAnsi="仿宋_GB2312" w:eastAsia="仿宋_GB2312" w:cs="仿宋_GB2312"/>
          <w:color w:val="auto"/>
          <w:sz w:val="28"/>
          <w:szCs w:val="28"/>
          <w:highlight w:val="none"/>
        </w:rPr>
        <w:t>文件为安徽新安银行股份有限公司（以下简称</w:t>
      </w:r>
      <w:r>
        <w:rPr>
          <w:rFonts w:hint="default" w:ascii="仿宋_GB2312" w:hAnsi="仿宋_GB2312" w:eastAsia="仿宋_GB2312" w:cs="仿宋_GB2312"/>
          <w:color w:val="auto"/>
          <w:sz w:val="28"/>
          <w:szCs w:val="28"/>
          <w:highlight w:val="none"/>
          <w:lang w:val="en-US" w:eastAsia="zh-CN"/>
        </w:rPr>
        <w:t>“招标人</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 xml:space="preserve">或 </w:t>
      </w:r>
      <w:r>
        <w:rPr>
          <w:rFonts w:hint="default" w:ascii="仿宋_GB2312" w:hAnsi="仿宋_GB2312" w:eastAsia="仿宋_GB2312" w:cs="仿宋_GB2312"/>
          <w:color w:val="auto"/>
          <w:sz w:val="28"/>
          <w:szCs w:val="28"/>
          <w:highlight w:val="none"/>
          <w:lang w:val="en-US"/>
        </w:rPr>
        <w:t>“新安银行”</w:t>
      </w:r>
      <w:r>
        <w:rPr>
          <w:rFonts w:hint="eastAsia" w:ascii="仿宋_GB2312" w:hAnsi="仿宋_GB2312" w:eastAsia="仿宋_GB2312" w:cs="仿宋_GB2312"/>
          <w:color w:val="auto"/>
          <w:sz w:val="28"/>
          <w:szCs w:val="28"/>
          <w:highlight w:val="none"/>
        </w:rPr>
        <w:t>）对办公电脑</w:t>
      </w:r>
      <w:r>
        <w:rPr>
          <w:rFonts w:hint="eastAsia" w:ascii="仿宋_GB2312" w:hAnsi="仿宋_GB2312" w:eastAsia="仿宋_GB2312" w:cs="仿宋_GB2312"/>
          <w:color w:val="auto"/>
          <w:sz w:val="28"/>
          <w:szCs w:val="28"/>
          <w:highlight w:val="none"/>
          <w:lang w:val="en-US" w:eastAsia="zh-CN"/>
        </w:rPr>
        <w:t>采购项目服务</w:t>
      </w:r>
      <w:r>
        <w:rPr>
          <w:rFonts w:hint="eastAsia" w:ascii="仿宋_GB2312" w:hAnsi="仿宋_GB2312" w:eastAsia="仿宋_GB2312" w:cs="仿宋_GB2312"/>
          <w:color w:val="auto"/>
          <w:sz w:val="28"/>
          <w:szCs w:val="28"/>
          <w:highlight w:val="none"/>
        </w:rPr>
        <w:t>供应商</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以下简称“投标人”</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提出的采购需求，将作为方案、商务谈判以及合同</w:t>
      </w:r>
      <w:r>
        <w:rPr>
          <w:rFonts w:hint="default" w:ascii="仿宋_GB2312" w:hAnsi="仿宋_GB2312" w:eastAsia="仿宋_GB2312" w:cs="仿宋_GB2312"/>
          <w:color w:val="auto"/>
          <w:sz w:val="28"/>
          <w:szCs w:val="28"/>
          <w:highlight w:val="none"/>
          <w:lang w:val="en-US"/>
        </w:rPr>
        <w:t>签订的</w:t>
      </w:r>
      <w:r>
        <w:rPr>
          <w:rFonts w:hint="eastAsia" w:ascii="仿宋_GB2312" w:hAnsi="仿宋_GB2312" w:eastAsia="仿宋_GB2312" w:cs="仿宋_GB2312"/>
          <w:color w:val="auto"/>
          <w:sz w:val="28"/>
          <w:szCs w:val="28"/>
          <w:highlight w:val="none"/>
        </w:rPr>
        <w:t>基础</w:t>
      </w:r>
      <w:r>
        <w:rPr>
          <w:rFonts w:hint="eastAsia" w:ascii="仿宋_GB2312" w:hAnsi="仿宋_GB2312" w:eastAsia="仿宋_GB2312" w:cs="仿宋_GB2312"/>
          <w:color w:val="auto"/>
          <w:sz w:val="28"/>
          <w:szCs w:val="28"/>
          <w:highlight w:val="none"/>
          <w:lang w:val="en-US" w:eastAsia="zh-CN"/>
        </w:rPr>
        <w:t>，投标人应针对此项目提供完整的方案。</w:t>
      </w:r>
    </w:p>
    <w:p w14:paraId="25D9A207">
      <w:pPr>
        <w:keepNext w:val="0"/>
        <w:keepLines w:val="0"/>
        <w:pageBreakBefore w:val="0"/>
        <w:overflowPunct/>
        <w:bidi w:val="0"/>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2.本招标文件提出了招标人对该项目需求的范围和相应的要求，作为投标人编写响应文件之用，投标人应仔细阅读并充分理解。</w:t>
      </w:r>
    </w:p>
    <w:p w14:paraId="2AB9EA75">
      <w:pPr>
        <w:keepNext w:val="0"/>
        <w:keepLines w:val="0"/>
        <w:pageBreakBefore w:val="0"/>
        <w:overflowPunct/>
        <w:bidi w:val="0"/>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投标文件中需提供的证明、资质等文件材料（包括但不限于公司营业执照、授权委托书、承诺函、报价表、产品需求等），除须加盖单位公章外，另须建立索引表标注材料所在投标文件的页码范围，用于投标时快速查找和答疑。</w:t>
      </w:r>
    </w:p>
    <w:p w14:paraId="32A9740D">
      <w:pPr>
        <w:keepNext w:val="0"/>
        <w:keepLines w:val="0"/>
        <w:pageBreakBefore w:val="0"/>
        <w:overflowPunct/>
        <w:bidi w:val="0"/>
        <w:spacing w:line="360" w:lineRule="auto"/>
        <w:ind w:firstLine="560" w:firstLineChars="200"/>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（二）定义</w:t>
      </w:r>
    </w:p>
    <w:p w14:paraId="1EDFD6FA">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eastAsia="zh-CN"/>
        </w:rPr>
      </w:pPr>
      <w:r>
        <w:rPr>
          <w:rFonts w:hint="default" w:ascii="仿宋_GB2312" w:hAnsi="仿宋_GB2312" w:eastAsia="仿宋_GB2312" w:cs="仿宋_GB2312"/>
          <w:color w:val="auto"/>
          <w:sz w:val="28"/>
          <w:szCs w:val="28"/>
          <w:highlight w:val="none"/>
          <w:lang w:val="en-US"/>
        </w:rPr>
        <w:t>1.</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人名称：安徽新安银行股份有限公司</w:t>
      </w:r>
      <w:r>
        <w:rPr>
          <w:rFonts w:hint="eastAsia" w:ascii="仿宋_GB2312" w:hAnsi="仿宋_GB2312" w:eastAsia="仿宋_GB2312" w:cs="仿宋_GB2312"/>
          <w:color w:val="auto"/>
          <w:sz w:val="28"/>
          <w:szCs w:val="28"/>
          <w:highlight w:val="none"/>
          <w:lang w:eastAsia="zh-CN"/>
        </w:rPr>
        <w:t>。</w:t>
      </w:r>
    </w:p>
    <w:p w14:paraId="240DF7F6">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rPr>
      </w:pPr>
      <w:r>
        <w:rPr>
          <w:rFonts w:hint="default" w:ascii="仿宋_GB2312" w:hAnsi="仿宋_GB2312" w:eastAsia="仿宋_GB2312" w:cs="仿宋_GB2312"/>
          <w:color w:val="auto"/>
          <w:sz w:val="28"/>
          <w:szCs w:val="28"/>
          <w:highlight w:val="none"/>
          <w:lang w:val="en-US"/>
        </w:rPr>
        <w:t>2.</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文件：新安银行向拟参加</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所提供的文件。</w:t>
      </w:r>
    </w:p>
    <w:p w14:paraId="3E0166C5">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rPr>
      </w:pPr>
      <w:r>
        <w:rPr>
          <w:rFonts w:hint="default" w:ascii="仿宋_GB2312" w:hAnsi="仿宋_GB2312" w:eastAsia="仿宋_GB2312" w:cs="仿宋_GB2312"/>
          <w:color w:val="auto"/>
          <w:sz w:val="28"/>
          <w:szCs w:val="28"/>
          <w:highlight w:val="none"/>
          <w:lang w:val="en-US"/>
        </w:rPr>
        <w:t>3.</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文件：参加</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向新安银行递交的为响应本项目</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文件内容而编制的文件。</w:t>
      </w:r>
    </w:p>
    <w:p w14:paraId="021C6A8D">
      <w:pPr>
        <w:keepNext w:val="0"/>
        <w:keepLines w:val="0"/>
        <w:pageBreakBefore w:val="0"/>
        <w:overflowPunct/>
        <w:bidi w:val="0"/>
        <w:spacing w:line="360" w:lineRule="auto"/>
        <w:ind w:firstLine="560" w:firstLineChars="200"/>
        <w:outlineLvl w:val="1"/>
        <w:rPr>
          <w:rFonts w:hint="eastAsia" w:ascii="仿宋_GB2312" w:hAnsi="仿宋_GB2312" w:eastAsia="仿宋_GB2312" w:cs="仿宋_GB2312"/>
          <w:color w:val="auto"/>
          <w:sz w:val="28"/>
          <w:szCs w:val="28"/>
          <w:highlight w:val="none"/>
        </w:rPr>
      </w:pPr>
      <w:bookmarkStart w:id="285" w:name="_Toc5022"/>
      <w:bookmarkStart w:id="286" w:name="_Toc26799"/>
      <w:bookmarkStart w:id="287" w:name="_Toc6001"/>
      <w:bookmarkStart w:id="288" w:name="_Toc17690"/>
      <w:bookmarkStart w:id="289" w:name="_Toc4555"/>
      <w:bookmarkStart w:id="290" w:name="_Toc19321"/>
      <w:bookmarkStart w:id="291" w:name="_Toc12654"/>
      <w:bookmarkStart w:id="292" w:name="_Toc13836"/>
      <w:bookmarkStart w:id="293" w:name="_Toc24968"/>
      <w:bookmarkStart w:id="294" w:name="_Toc12927"/>
      <w:bookmarkStart w:id="295" w:name="_Toc14197"/>
      <w:bookmarkStart w:id="296" w:name="_Toc12756"/>
      <w:bookmarkStart w:id="297" w:name="_Toc18665"/>
      <w:bookmarkStart w:id="298" w:name="_Toc10639"/>
      <w:bookmarkStart w:id="299" w:name="_Toc30995"/>
      <w:bookmarkStart w:id="300" w:name="_Toc12902"/>
      <w:bookmarkStart w:id="301" w:name="_Toc19530"/>
      <w:bookmarkStart w:id="302" w:name="_Toc23864"/>
      <w:bookmarkStart w:id="303" w:name="_Toc21426"/>
      <w:bookmarkStart w:id="304" w:name="_Toc21455"/>
      <w:bookmarkStart w:id="305" w:name="_Toc21879"/>
      <w:bookmarkStart w:id="306" w:name="_Toc21480"/>
      <w:bookmarkStart w:id="307" w:name="_Toc12580"/>
      <w:bookmarkStart w:id="308" w:name="_Toc3037"/>
      <w:r>
        <w:rPr>
          <w:rFonts w:hint="eastAsia" w:ascii="仿宋_GB2312" w:hAnsi="仿宋_GB2312" w:eastAsia="仿宋_GB2312" w:cs="仿宋_GB2312"/>
          <w:color w:val="auto"/>
          <w:sz w:val="28"/>
          <w:szCs w:val="28"/>
          <w:highlight w:val="none"/>
        </w:rPr>
        <w:t>二、采购文件</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70F829B3">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w:t>
      </w:r>
      <w:r>
        <w:rPr>
          <w:rFonts w:hint="eastAsia" w:ascii="仿宋_GB2312" w:hAnsi="仿宋_GB2312" w:eastAsia="仿宋_GB2312" w:cs="仿宋_GB2312"/>
          <w:color w:val="auto"/>
          <w:sz w:val="28"/>
          <w:szCs w:val="28"/>
          <w:highlight w:val="none"/>
          <w:lang w:val="en-US" w:eastAsia="zh-CN"/>
        </w:rPr>
        <w:t>招标文件用以阐明所需服务内容、采购程序及评定中选单位的标准方法等事项。招标文件包括招标公告、投标人须知、评审规则、项目需求及投标文件格式及装订顺序、相关文件格式等内容。</w:t>
      </w:r>
    </w:p>
    <w:p w14:paraId="1EDA98DC">
      <w:pPr>
        <w:keepNext w:val="0"/>
        <w:keepLines w:val="0"/>
        <w:pageBreakBefore w:val="0"/>
        <w:overflowPunct/>
        <w:bidi w:val="0"/>
        <w:spacing w:line="360" w:lineRule="auto"/>
        <w:ind w:firstLine="560" w:firstLineChars="200"/>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（二）</w:t>
      </w:r>
      <w:r>
        <w:rPr>
          <w:rFonts w:hint="eastAsia" w:ascii="仿宋_GB2312" w:hAnsi="仿宋_GB2312" w:eastAsia="仿宋_GB2312" w:cs="仿宋_GB2312"/>
          <w:bCs/>
          <w:color w:val="auto"/>
          <w:sz w:val="28"/>
          <w:szCs w:val="28"/>
          <w:highlight w:val="none"/>
          <w:lang w:val="en-US" w:eastAsia="zh-CN"/>
        </w:rPr>
        <w:t>招标</w:t>
      </w:r>
      <w:r>
        <w:rPr>
          <w:rFonts w:hint="eastAsia" w:ascii="仿宋_GB2312" w:hAnsi="仿宋_GB2312" w:eastAsia="仿宋_GB2312" w:cs="仿宋_GB2312"/>
          <w:bCs/>
          <w:color w:val="auto"/>
          <w:sz w:val="28"/>
          <w:szCs w:val="28"/>
          <w:highlight w:val="none"/>
        </w:rPr>
        <w:t>文件的修改与补充</w:t>
      </w:r>
    </w:p>
    <w:p w14:paraId="54B119B6">
      <w:pPr>
        <w:keepNext w:val="0"/>
        <w:keepLines w:val="0"/>
        <w:pageBreakBefore w:val="0"/>
        <w:overflowPunct/>
        <w:bidi w:val="0"/>
        <w:spacing w:line="360" w:lineRule="auto"/>
        <w:ind w:firstLine="6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在提交</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文件截止时间</w:t>
      </w: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个工作日前，</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人有权修改或补充已发出的</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文件，但需以书面或电子邮件形式将</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文件的修改或补充内容通知所有</w:t>
      </w:r>
      <w:r>
        <w:rPr>
          <w:rFonts w:hint="eastAsia" w:ascii="仿宋_GB2312" w:hAnsi="仿宋_GB2312" w:eastAsia="仿宋_GB2312" w:cs="仿宋_GB2312"/>
          <w:color w:val="auto"/>
          <w:sz w:val="28"/>
          <w:szCs w:val="28"/>
          <w:highlight w:val="none"/>
          <w:lang w:val="en-US" w:eastAsia="zh-CN"/>
        </w:rPr>
        <w:t>已报名参加</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color w:val="auto"/>
          <w:sz w:val="28"/>
          <w:szCs w:val="28"/>
          <w:highlight w:val="none"/>
          <w:lang w:val="en-US" w:eastAsia="zh-CN"/>
        </w:rPr>
        <w:t>供应商</w:t>
      </w:r>
      <w:r>
        <w:rPr>
          <w:rFonts w:hint="eastAsia" w:ascii="仿宋_GB2312" w:hAnsi="仿宋_GB2312" w:eastAsia="仿宋_GB2312" w:cs="仿宋_GB2312"/>
          <w:color w:val="auto"/>
          <w:sz w:val="28"/>
          <w:szCs w:val="28"/>
          <w:highlight w:val="none"/>
        </w:rPr>
        <w:t>，修改或补充内容将构成</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文件的一部分。</w:t>
      </w:r>
    </w:p>
    <w:p w14:paraId="1590E72F">
      <w:pPr>
        <w:keepNext w:val="0"/>
        <w:keepLines w:val="0"/>
        <w:pageBreakBefore w:val="0"/>
        <w:overflowPunct/>
        <w:bidi w:val="0"/>
        <w:spacing w:line="360" w:lineRule="auto"/>
        <w:ind w:firstLine="560" w:firstLineChars="200"/>
        <w:outlineLvl w:val="1"/>
        <w:rPr>
          <w:rFonts w:hint="eastAsia" w:ascii="仿宋_GB2312" w:hAnsi="仿宋_GB2312" w:eastAsia="仿宋_GB2312" w:cs="仿宋_GB2312"/>
          <w:color w:val="auto"/>
          <w:sz w:val="28"/>
          <w:szCs w:val="28"/>
          <w:highlight w:val="none"/>
        </w:rPr>
      </w:pPr>
      <w:bookmarkStart w:id="309" w:name="_Toc154"/>
      <w:bookmarkStart w:id="310" w:name="_Toc14829"/>
      <w:bookmarkStart w:id="311" w:name="_Toc5603"/>
      <w:bookmarkStart w:id="312" w:name="_Toc14592"/>
      <w:bookmarkStart w:id="313" w:name="_Toc32129"/>
      <w:bookmarkStart w:id="314" w:name="_Toc2079"/>
      <w:bookmarkStart w:id="315" w:name="_Toc7313"/>
      <w:bookmarkStart w:id="316" w:name="_Toc26395"/>
      <w:bookmarkStart w:id="317" w:name="_Toc7599"/>
      <w:bookmarkStart w:id="318" w:name="_Toc12223"/>
      <w:bookmarkStart w:id="319" w:name="_Toc32644"/>
      <w:bookmarkStart w:id="320" w:name="_Toc27448"/>
      <w:bookmarkStart w:id="321" w:name="_Toc13549"/>
      <w:bookmarkStart w:id="322" w:name="_Toc13629"/>
      <w:bookmarkStart w:id="323" w:name="_Toc3076"/>
      <w:bookmarkStart w:id="324" w:name="_Toc6901"/>
      <w:bookmarkStart w:id="325" w:name="_Toc6844"/>
      <w:bookmarkStart w:id="326" w:name="_Toc10886"/>
      <w:bookmarkStart w:id="327" w:name="_Toc7222"/>
      <w:bookmarkStart w:id="328" w:name="_Toc30934"/>
      <w:bookmarkStart w:id="329" w:name="_Toc21723"/>
      <w:bookmarkStart w:id="330" w:name="_Toc26989"/>
      <w:bookmarkStart w:id="331" w:name="_Toc11223"/>
      <w:bookmarkStart w:id="332" w:name="_Toc28664"/>
      <w:r>
        <w:rPr>
          <w:rFonts w:hint="eastAsia" w:ascii="仿宋_GB2312" w:hAnsi="仿宋_GB2312" w:eastAsia="仿宋_GB2312" w:cs="仿宋_GB2312"/>
          <w:color w:val="auto"/>
          <w:sz w:val="28"/>
          <w:szCs w:val="28"/>
          <w:highlight w:val="none"/>
        </w:rPr>
        <w:t>三、报价文件的编写</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71F0CCF8">
      <w:pPr>
        <w:keepNext w:val="0"/>
        <w:keepLines w:val="0"/>
        <w:pageBreakBefore w:val="0"/>
        <w:overflowPunct/>
        <w:bidi w:val="0"/>
        <w:spacing w:line="360" w:lineRule="auto"/>
        <w:ind w:firstLine="554" w:firstLineChars="198"/>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（一）</w:t>
      </w:r>
      <w:r>
        <w:rPr>
          <w:rFonts w:hint="eastAsia" w:ascii="仿宋_GB2312" w:hAnsi="仿宋_GB2312" w:eastAsia="仿宋_GB2312" w:cs="仿宋_GB2312"/>
          <w:bCs/>
          <w:color w:val="auto"/>
          <w:sz w:val="28"/>
          <w:szCs w:val="28"/>
          <w:highlight w:val="none"/>
          <w:lang w:val="en-US" w:eastAsia="zh-CN"/>
        </w:rPr>
        <w:t>投标</w:t>
      </w:r>
      <w:r>
        <w:rPr>
          <w:rFonts w:hint="eastAsia" w:ascii="仿宋_GB2312" w:hAnsi="仿宋_GB2312" w:eastAsia="仿宋_GB2312" w:cs="仿宋_GB2312"/>
          <w:bCs/>
          <w:color w:val="auto"/>
          <w:sz w:val="28"/>
          <w:szCs w:val="28"/>
          <w:highlight w:val="none"/>
        </w:rPr>
        <w:t>文件的组成</w:t>
      </w:r>
    </w:p>
    <w:p w14:paraId="04193C9C">
      <w:pPr>
        <w:keepNext w:val="0"/>
        <w:keepLines w:val="0"/>
        <w:pageBreakBefore w:val="0"/>
        <w:overflowPunct/>
        <w:bidi w:val="0"/>
        <w:spacing w:line="360" w:lineRule="auto"/>
        <w:ind w:firstLine="6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详见“</w:t>
      </w:r>
      <w:r>
        <w:rPr>
          <w:rFonts w:hint="eastAsia" w:ascii="仿宋_GB2312" w:hAnsi="仿宋_GB2312" w:eastAsia="仿宋_GB2312" w:cs="仿宋_GB2312"/>
          <w:color w:val="auto"/>
          <w:sz w:val="28"/>
          <w:szCs w:val="28"/>
          <w:highlight w:val="none"/>
          <w:lang w:val="en-US" w:eastAsia="zh-CN"/>
        </w:rPr>
        <w:t xml:space="preserve">第四部分 </w:t>
      </w:r>
      <w:r>
        <w:rPr>
          <w:rFonts w:hint="eastAsia" w:ascii="仿宋_GB2312" w:hAnsi="仿宋_GB2312" w:eastAsia="仿宋_GB2312" w:cs="仿宋_GB2312"/>
          <w:color w:val="auto"/>
          <w:sz w:val="28"/>
          <w:szCs w:val="28"/>
          <w:highlight w:val="none"/>
        </w:rPr>
        <w:t>投标文件</w:t>
      </w:r>
      <w:r>
        <w:rPr>
          <w:rFonts w:hint="eastAsia" w:ascii="仿宋_GB2312" w:hAnsi="仿宋_GB2312" w:eastAsia="仿宋_GB2312" w:cs="仿宋_GB2312"/>
          <w:color w:val="auto"/>
          <w:sz w:val="28"/>
          <w:szCs w:val="28"/>
          <w:highlight w:val="none"/>
          <w:lang w:val="en-US" w:eastAsia="zh-CN"/>
        </w:rPr>
        <w:t>格式</w:t>
      </w:r>
      <w:r>
        <w:rPr>
          <w:rFonts w:hint="eastAsia" w:ascii="仿宋_GB2312" w:hAnsi="仿宋_GB2312" w:eastAsia="仿宋_GB2312" w:cs="仿宋_GB2312"/>
          <w:color w:val="auto"/>
          <w:sz w:val="28"/>
          <w:szCs w:val="28"/>
          <w:highlight w:val="none"/>
        </w:rPr>
        <w:t>装订顺序”。</w:t>
      </w:r>
    </w:p>
    <w:p w14:paraId="0EB219C6">
      <w:pPr>
        <w:keepNext w:val="0"/>
        <w:keepLines w:val="0"/>
        <w:pageBreakBefore w:val="0"/>
        <w:overflowPunct/>
        <w:bidi w:val="0"/>
        <w:spacing w:line="360" w:lineRule="auto"/>
        <w:ind w:firstLine="554" w:firstLineChars="198"/>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（二）装订要求</w:t>
      </w:r>
    </w:p>
    <w:p w14:paraId="4953EED4">
      <w:pPr>
        <w:keepNext w:val="0"/>
        <w:keepLines w:val="0"/>
        <w:pageBreakBefore w:val="0"/>
        <w:overflowPunct/>
        <w:bidi w:val="0"/>
        <w:spacing w:line="360" w:lineRule="auto"/>
        <w:ind w:firstLine="6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应按</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文件中规定的顺序</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格式</w:t>
      </w:r>
      <w:r>
        <w:rPr>
          <w:rFonts w:hint="eastAsia" w:ascii="仿宋_GB2312" w:hAnsi="仿宋_GB2312" w:eastAsia="仿宋_GB2312" w:cs="仿宋_GB2312"/>
          <w:color w:val="auto"/>
          <w:sz w:val="28"/>
          <w:szCs w:val="28"/>
          <w:highlight w:val="none"/>
        </w:rPr>
        <w:t>装订</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文件，不得采用活页装订，否则其报价</w:t>
      </w:r>
      <w:r>
        <w:rPr>
          <w:rFonts w:hint="eastAsia" w:ascii="仿宋_GB2312" w:hAnsi="仿宋_GB2312" w:eastAsia="仿宋_GB2312" w:cs="仿宋_GB2312"/>
          <w:color w:val="auto"/>
          <w:sz w:val="28"/>
          <w:szCs w:val="28"/>
          <w:highlight w:val="none"/>
          <w:lang w:val="en-US" w:eastAsia="zh-CN"/>
        </w:rPr>
        <w:t>将被否决</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strike w:val="0"/>
          <w:dstrike w:val="0"/>
          <w:color w:val="auto"/>
          <w:sz w:val="28"/>
          <w:szCs w:val="28"/>
          <w:highlight w:val="none"/>
          <w:lang w:val="en-US" w:eastAsia="zh-CN"/>
        </w:rPr>
        <w:t>报价表</w:t>
      </w:r>
      <w:r>
        <w:rPr>
          <w:rFonts w:hint="eastAsia" w:ascii="仿宋_GB2312" w:hAnsi="仿宋_GB2312" w:eastAsia="仿宋_GB2312" w:cs="仿宋_GB2312"/>
          <w:color w:val="auto"/>
          <w:sz w:val="28"/>
          <w:szCs w:val="28"/>
          <w:highlight w:val="none"/>
          <w:lang w:val="en-US" w:eastAsia="zh-CN"/>
        </w:rPr>
        <w:t>应附于投标文件内，并加盖单位公章。</w:t>
      </w:r>
    </w:p>
    <w:p w14:paraId="6E4E5E01">
      <w:pPr>
        <w:keepNext w:val="0"/>
        <w:keepLines w:val="0"/>
        <w:pageBreakBefore w:val="0"/>
        <w:overflowPunct/>
        <w:bidi w:val="0"/>
        <w:spacing w:line="360" w:lineRule="auto"/>
        <w:ind w:firstLine="554" w:firstLineChars="198"/>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（三）报价</w:t>
      </w:r>
    </w:p>
    <w:p w14:paraId="30A85B93">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val="en-US" w:eastAsia="zh-CN"/>
        </w:rPr>
        <w:t>报价总则</w:t>
      </w:r>
    </w:p>
    <w:p w14:paraId="1AF07468">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 报价时投标人须综合考虑各种费用，包括但不限于：</w:t>
      </w:r>
    </w:p>
    <w:p w14:paraId="7F22623B">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（1）产品费用；</w:t>
      </w:r>
    </w:p>
    <w:p w14:paraId="0868E099">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（2）物流运输费用；</w:t>
      </w:r>
    </w:p>
    <w:p w14:paraId="18C674FE">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（3）实施费用；</w:t>
      </w:r>
    </w:p>
    <w:p w14:paraId="7032D4FD">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（4）人工费用；</w:t>
      </w:r>
    </w:p>
    <w:p w14:paraId="2E6763C1">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（5）配套辅材</w:t>
      </w:r>
      <w:r>
        <w:rPr>
          <w:rFonts w:hint="default" w:ascii="仿宋_GB2312" w:hAnsi="仿宋_GB2312" w:eastAsia="仿宋_GB2312" w:cs="仿宋_GB2312"/>
          <w:color w:val="auto"/>
          <w:sz w:val="28"/>
          <w:szCs w:val="28"/>
          <w:highlight w:val="none"/>
          <w:lang w:val="en-US" w:eastAsia="zh-CN"/>
        </w:rPr>
        <w:t>费用；</w:t>
      </w:r>
    </w:p>
    <w:p w14:paraId="12CF7D9F">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（6）其他确保产品顺利交付可能产生的相关费用。</w:t>
      </w:r>
    </w:p>
    <w:p w14:paraId="73E9694B">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1.2 投标人须按本文件指定格式正确填写各种价格单；</w:t>
      </w:r>
    </w:p>
    <w:p w14:paraId="79203726">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（1）价格单中相应内容的报价必须计算正确</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如：单价与总价）；</w:t>
      </w:r>
    </w:p>
    <w:p w14:paraId="119621F5">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r>
        <w:rPr>
          <w:rFonts w:hint="default" w:ascii="仿宋_GB2312" w:hAnsi="仿宋_GB2312" w:eastAsia="仿宋_GB2312" w:cs="仿宋_GB2312"/>
          <w:color w:val="auto"/>
          <w:sz w:val="28"/>
          <w:szCs w:val="28"/>
          <w:highlight w:val="none"/>
          <w:lang w:val="en-US" w:eastAsia="zh-CN"/>
        </w:rPr>
        <w:t>每个</w:t>
      </w:r>
      <w:r>
        <w:rPr>
          <w:rFonts w:hint="eastAsia" w:ascii="仿宋_GB2312" w:hAnsi="仿宋_GB2312" w:eastAsia="仿宋_GB2312" w:cs="仿宋_GB2312"/>
          <w:color w:val="auto"/>
          <w:sz w:val="28"/>
          <w:szCs w:val="28"/>
          <w:highlight w:val="none"/>
          <w:lang w:val="en-US" w:eastAsia="zh-CN"/>
        </w:rPr>
        <w:t>项目的报价必须是唯一的。如出现不唯一报价，以低价为准；如因此影响项目结果，视为无效文件；</w:t>
      </w:r>
    </w:p>
    <w:p w14:paraId="19DD1119">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（3）报价栏项目中如出现数字0或空白，视报价为零，即免费；</w:t>
      </w:r>
    </w:p>
    <w:p w14:paraId="35AC6123">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（4）所有报价均应包含国家规定的所有税费及相应税率。</w:t>
      </w:r>
    </w:p>
    <w:p w14:paraId="0FC4AED1">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val="en-US" w:eastAsia="zh-CN"/>
        </w:rPr>
        <w:t>项目总报价</w:t>
      </w:r>
    </w:p>
    <w:p w14:paraId="78024360">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2.1 项目总报价应涵盖实现本项目所有需求的费用；</w:t>
      </w:r>
    </w:p>
    <w:p w14:paraId="175A6886">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2.2 项目总报价之外不得新增费用；</w:t>
      </w:r>
    </w:p>
    <w:p w14:paraId="300F2ABF">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2.3 如项目总报价与明细报价的汇总存在</w:t>
      </w:r>
      <w:r>
        <w:rPr>
          <w:rFonts w:hint="default" w:ascii="仿宋_GB2312" w:hAnsi="仿宋_GB2312" w:eastAsia="仿宋_GB2312" w:cs="仿宋_GB2312"/>
          <w:color w:val="auto"/>
          <w:sz w:val="28"/>
          <w:szCs w:val="28"/>
          <w:highlight w:val="none"/>
          <w:lang w:val="en-US" w:eastAsia="zh-CN"/>
        </w:rPr>
        <w:t>差异</w:t>
      </w:r>
      <w:r>
        <w:rPr>
          <w:rFonts w:hint="eastAsia" w:ascii="仿宋_GB2312" w:hAnsi="仿宋_GB2312" w:eastAsia="仿宋_GB2312" w:cs="仿宋_GB2312"/>
          <w:color w:val="auto"/>
          <w:sz w:val="28"/>
          <w:szCs w:val="28"/>
          <w:highlight w:val="none"/>
          <w:lang w:val="en-US" w:eastAsia="zh-CN"/>
        </w:rPr>
        <w:t>，以低价为准。</w:t>
      </w:r>
    </w:p>
    <w:p w14:paraId="0C48AFE6">
      <w:pPr>
        <w:keepNext w:val="0"/>
        <w:keepLines w:val="0"/>
        <w:pageBreakBefore w:val="0"/>
        <w:overflowPunct/>
        <w:bidi w:val="0"/>
        <w:spacing w:line="360" w:lineRule="auto"/>
        <w:ind w:firstLine="554" w:firstLineChars="198"/>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（四）</w:t>
      </w:r>
      <w:r>
        <w:rPr>
          <w:rFonts w:hint="eastAsia" w:ascii="仿宋_GB2312" w:hAnsi="仿宋_GB2312" w:eastAsia="仿宋_GB2312" w:cs="仿宋_GB2312"/>
          <w:bCs/>
          <w:color w:val="auto"/>
          <w:sz w:val="28"/>
          <w:szCs w:val="28"/>
          <w:highlight w:val="none"/>
          <w:lang w:val="en-US" w:eastAsia="zh-CN"/>
        </w:rPr>
        <w:t>投标</w:t>
      </w:r>
      <w:r>
        <w:rPr>
          <w:rFonts w:hint="eastAsia" w:ascii="仿宋_GB2312" w:hAnsi="仿宋_GB2312" w:eastAsia="仿宋_GB2312" w:cs="仿宋_GB2312"/>
          <w:bCs/>
          <w:color w:val="auto"/>
          <w:sz w:val="28"/>
          <w:szCs w:val="28"/>
          <w:highlight w:val="none"/>
        </w:rPr>
        <w:t>文件的签署及规定</w:t>
      </w:r>
    </w:p>
    <w:p w14:paraId="4F4603BB">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default" w:ascii="仿宋_GB2312" w:hAnsi="仿宋_GB2312" w:eastAsia="仿宋_GB2312" w:cs="仿宋_GB2312"/>
          <w:color w:val="auto"/>
          <w:sz w:val="28"/>
          <w:szCs w:val="28"/>
          <w:highlight w:val="none"/>
          <w:lang w:val="en-US"/>
        </w:rPr>
        <w:t>1.</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文件中企业证件及资格证书等复印件均应加盖单位公章。</w:t>
      </w:r>
    </w:p>
    <w:p w14:paraId="41F5D3F9">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default" w:ascii="仿宋_GB2312" w:hAnsi="仿宋_GB2312" w:eastAsia="仿宋_GB2312" w:cs="仿宋_GB2312"/>
          <w:color w:val="auto"/>
          <w:sz w:val="28"/>
          <w:szCs w:val="28"/>
          <w:highlight w:val="none"/>
          <w:lang w:val="en-US"/>
        </w:rPr>
        <w:t>2.</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文件不得有加行、涂抹或改写。</w:t>
      </w:r>
    </w:p>
    <w:p w14:paraId="7EC4CC85">
      <w:pPr>
        <w:keepNext w:val="0"/>
        <w:keepLines w:val="0"/>
        <w:pageBreakBefore w:val="0"/>
        <w:overflowPunct/>
        <w:bidi w:val="0"/>
        <w:spacing w:line="360" w:lineRule="auto"/>
        <w:ind w:firstLine="560" w:firstLineChars="200"/>
        <w:outlineLvl w:val="1"/>
        <w:rPr>
          <w:rFonts w:hint="eastAsia" w:ascii="仿宋_GB2312" w:hAnsi="仿宋_GB2312" w:eastAsia="仿宋_GB2312" w:cs="仿宋_GB2312"/>
          <w:color w:val="auto"/>
          <w:sz w:val="28"/>
          <w:szCs w:val="28"/>
          <w:highlight w:val="none"/>
        </w:rPr>
      </w:pPr>
      <w:bookmarkStart w:id="333" w:name="_Toc9035"/>
      <w:bookmarkStart w:id="334" w:name="_Toc8805"/>
      <w:bookmarkStart w:id="335" w:name="_Toc17335"/>
      <w:bookmarkStart w:id="336" w:name="_Toc20773"/>
      <w:bookmarkStart w:id="337" w:name="_Toc4739"/>
      <w:bookmarkStart w:id="338" w:name="_Toc18208"/>
      <w:bookmarkStart w:id="339" w:name="_Toc21081"/>
      <w:bookmarkStart w:id="340" w:name="_Toc15128"/>
      <w:bookmarkStart w:id="341" w:name="_Toc17172"/>
      <w:bookmarkStart w:id="342" w:name="_Toc7890"/>
      <w:bookmarkStart w:id="343" w:name="_Toc19764"/>
      <w:bookmarkStart w:id="344" w:name="_Toc26380"/>
      <w:bookmarkStart w:id="345" w:name="_Toc27493"/>
      <w:bookmarkStart w:id="346" w:name="_Toc13494"/>
      <w:bookmarkStart w:id="347" w:name="_Toc6190"/>
      <w:bookmarkStart w:id="348" w:name="_Toc11358"/>
      <w:bookmarkStart w:id="349" w:name="_Toc14434"/>
      <w:bookmarkStart w:id="350" w:name="_Toc10707"/>
      <w:bookmarkStart w:id="351" w:name="_Toc2878"/>
      <w:bookmarkStart w:id="352" w:name="_Toc14310"/>
      <w:bookmarkStart w:id="353" w:name="_Toc24313"/>
      <w:bookmarkStart w:id="354" w:name="_Toc12191"/>
      <w:bookmarkStart w:id="355" w:name="_Toc4897"/>
      <w:bookmarkStart w:id="356" w:name="_Toc14475"/>
      <w:r>
        <w:rPr>
          <w:rFonts w:hint="eastAsia" w:ascii="仿宋_GB2312" w:hAnsi="仿宋_GB2312" w:eastAsia="仿宋_GB2312" w:cs="仿宋_GB2312"/>
          <w:color w:val="auto"/>
          <w:sz w:val="28"/>
          <w:szCs w:val="28"/>
          <w:highlight w:val="none"/>
          <w:lang w:val="en-US" w:eastAsia="zh-CN"/>
        </w:rPr>
        <w:t>四、知识产权</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Fonts w:hint="eastAsia" w:ascii="仿宋_GB2312" w:hAnsi="仿宋_GB2312" w:eastAsia="仿宋_GB2312" w:cs="仿宋_GB2312"/>
          <w:color w:val="auto"/>
          <w:sz w:val="28"/>
          <w:szCs w:val="28"/>
          <w:highlight w:val="none"/>
          <w:lang w:val="en-US" w:eastAsia="zh-CN"/>
        </w:rPr>
        <w:t xml:space="preserve"> </w:t>
      </w:r>
    </w:p>
    <w:p w14:paraId="05DA2570">
      <w:pPr>
        <w:keepNext w:val="0"/>
        <w:keepLines w:val="0"/>
        <w:pageBreakBefore w:val="0"/>
        <w:overflowPunct/>
        <w:bidi w:val="0"/>
        <w:spacing w:line="360" w:lineRule="auto"/>
        <w:ind w:firstLine="560" w:firstLineChars="200"/>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投标人须保证招标人在中华人民共和国境内使用投标产品、货物、资料、技术、服务或其任何一部分时，享有不受限制的无偿使用权，不会产生因第三方提出侵犯其专利权、商标权或</w:t>
      </w:r>
      <w:r>
        <w:rPr>
          <w:rFonts w:hint="default" w:ascii="仿宋_GB2312" w:hAnsi="仿宋_GB2312" w:eastAsia="仿宋_GB2312" w:cs="仿宋_GB2312"/>
          <w:color w:val="auto"/>
          <w:sz w:val="28"/>
          <w:szCs w:val="28"/>
          <w:highlight w:val="none"/>
          <w:lang w:val="en-US" w:eastAsia="zh-CN"/>
        </w:rPr>
        <w:t>其他</w:t>
      </w:r>
      <w:r>
        <w:rPr>
          <w:rFonts w:hint="eastAsia" w:ascii="仿宋_GB2312" w:hAnsi="仿宋_GB2312" w:eastAsia="仿宋_GB2312" w:cs="仿宋_GB2312"/>
          <w:color w:val="auto"/>
          <w:sz w:val="28"/>
          <w:szCs w:val="28"/>
          <w:highlight w:val="none"/>
          <w:lang w:val="en-US" w:eastAsia="zh-CN"/>
        </w:rPr>
        <w:t>知识产权而引起的法律或经济纠纷。如投标人不拥有相应的知识产权，则在投标报价中必须包括合法获取该知识产权的一切相关费用。如因此导致招标人损失的，投标人须承担全部赔偿责任。</w:t>
      </w:r>
    </w:p>
    <w:p w14:paraId="620B6CC4">
      <w:pPr>
        <w:keepNext w:val="0"/>
        <w:keepLines w:val="0"/>
        <w:pageBreakBefore w:val="0"/>
        <w:overflowPunct/>
        <w:bidi w:val="0"/>
        <w:spacing w:line="360" w:lineRule="auto"/>
        <w:ind w:firstLine="560" w:firstLineChars="200"/>
        <w:outlineLvl w:val="1"/>
        <w:rPr>
          <w:rFonts w:hint="eastAsia" w:ascii="仿宋_GB2312" w:hAnsi="仿宋_GB2312" w:eastAsia="仿宋_GB2312" w:cs="仿宋_GB2312"/>
          <w:color w:val="auto"/>
          <w:sz w:val="28"/>
          <w:szCs w:val="28"/>
          <w:highlight w:val="none"/>
        </w:rPr>
      </w:pPr>
      <w:bookmarkStart w:id="357" w:name="_Toc31786"/>
      <w:bookmarkStart w:id="358" w:name="_Toc19154"/>
      <w:bookmarkStart w:id="359" w:name="_Toc3779"/>
      <w:bookmarkStart w:id="360" w:name="_Toc15284"/>
      <w:bookmarkStart w:id="361" w:name="_Toc23109"/>
      <w:bookmarkStart w:id="362" w:name="_Toc4275"/>
      <w:bookmarkStart w:id="363" w:name="_Toc16246"/>
      <w:bookmarkStart w:id="364" w:name="_Toc14149"/>
      <w:bookmarkStart w:id="365" w:name="_Toc21787"/>
      <w:bookmarkStart w:id="366" w:name="_Toc30149"/>
      <w:bookmarkStart w:id="367" w:name="_Toc18278"/>
      <w:bookmarkStart w:id="368" w:name="_Toc18526"/>
      <w:bookmarkStart w:id="369" w:name="_Toc23739"/>
      <w:bookmarkStart w:id="370" w:name="_Toc1748"/>
      <w:bookmarkStart w:id="371" w:name="_Toc5193"/>
      <w:bookmarkStart w:id="372" w:name="_Toc21910"/>
      <w:bookmarkStart w:id="373" w:name="_Toc4821"/>
      <w:bookmarkStart w:id="374" w:name="_Toc12898"/>
      <w:bookmarkStart w:id="375" w:name="_Toc1371"/>
      <w:bookmarkStart w:id="376" w:name="_Toc19009"/>
      <w:bookmarkStart w:id="377" w:name="_Toc30980"/>
      <w:bookmarkStart w:id="378" w:name="_Toc2943"/>
      <w:bookmarkStart w:id="379" w:name="_Toc3840"/>
      <w:bookmarkStart w:id="380" w:name="_Toc28700"/>
      <w:r>
        <w:rPr>
          <w:rFonts w:hint="eastAsia" w:ascii="仿宋_GB2312" w:hAnsi="仿宋_GB2312" w:eastAsia="仿宋_GB2312" w:cs="仿宋_GB2312"/>
          <w:color w:val="auto"/>
          <w:sz w:val="28"/>
          <w:szCs w:val="28"/>
          <w:highlight w:val="none"/>
          <w:lang w:val="en-US" w:eastAsia="zh-CN"/>
        </w:rPr>
        <w:t>五</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文件的递交</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3BD8E51B">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（一）密封和标记</w:t>
      </w:r>
    </w:p>
    <w:p w14:paraId="1D50D011">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应按本</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文件要求编制报价文件，</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文件一式</w:t>
      </w:r>
      <w:r>
        <w:rPr>
          <w:rFonts w:hint="eastAsia" w:ascii="仿宋_GB2312" w:hAnsi="仿宋_GB2312" w:eastAsia="仿宋_GB2312" w:cs="仿宋_GB2312"/>
          <w:color w:val="auto"/>
          <w:sz w:val="28"/>
          <w:szCs w:val="28"/>
          <w:highlight w:val="none"/>
          <w:lang w:val="en-US" w:eastAsia="zh-CN"/>
        </w:rPr>
        <w:t>五</w:t>
      </w:r>
      <w:r>
        <w:rPr>
          <w:rFonts w:hint="eastAsia" w:ascii="仿宋_GB2312" w:hAnsi="仿宋_GB2312" w:eastAsia="仿宋_GB2312" w:cs="仿宋_GB2312"/>
          <w:color w:val="auto"/>
          <w:sz w:val="28"/>
          <w:szCs w:val="28"/>
          <w:highlight w:val="none"/>
        </w:rPr>
        <w:t>份（正本一份、副本</w:t>
      </w:r>
      <w:r>
        <w:rPr>
          <w:rFonts w:hint="eastAsia" w:ascii="仿宋_GB2312" w:hAnsi="仿宋_GB2312" w:eastAsia="仿宋_GB2312" w:cs="仿宋_GB2312"/>
          <w:color w:val="auto"/>
          <w:sz w:val="28"/>
          <w:szCs w:val="28"/>
          <w:highlight w:val="none"/>
          <w:lang w:val="en-US" w:eastAsia="zh-CN"/>
        </w:rPr>
        <w:t>四</w:t>
      </w:r>
      <w:r>
        <w:rPr>
          <w:rFonts w:hint="eastAsia" w:ascii="仿宋_GB2312" w:hAnsi="仿宋_GB2312" w:eastAsia="仿宋_GB2312" w:cs="仿宋_GB2312"/>
          <w:color w:val="auto"/>
          <w:sz w:val="28"/>
          <w:szCs w:val="28"/>
          <w:highlight w:val="none"/>
        </w:rPr>
        <w:t>份，封面标明正、副本字样），正本与副本不一致，以正本为准。</w:t>
      </w:r>
    </w:p>
    <w:p w14:paraId="28AB4532">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default" w:ascii="仿宋_GB2312" w:hAnsi="仿宋_GB2312" w:eastAsia="仿宋_GB2312" w:cs="仿宋_GB2312"/>
          <w:color w:val="auto"/>
          <w:sz w:val="28"/>
          <w:szCs w:val="28"/>
          <w:highlight w:val="none"/>
          <w:lang w:val="en-US"/>
        </w:rPr>
        <w:t>1.</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文件正本和副本应密封在一个非透明的封袋中。</w:t>
      </w:r>
    </w:p>
    <w:p w14:paraId="68E81843">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default" w:ascii="仿宋_GB2312" w:hAnsi="仿宋_GB2312" w:eastAsia="仿宋_GB2312" w:cs="仿宋_GB2312"/>
          <w:color w:val="auto"/>
          <w:sz w:val="28"/>
          <w:szCs w:val="28"/>
          <w:highlight w:val="none"/>
          <w:lang w:val="en-US"/>
        </w:rPr>
        <w:t>2.</w:t>
      </w:r>
      <w:r>
        <w:rPr>
          <w:rFonts w:hint="eastAsia" w:ascii="仿宋_GB2312" w:hAnsi="仿宋_GB2312" w:eastAsia="仿宋_GB2312" w:cs="仿宋_GB2312"/>
          <w:color w:val="auto"/>
          <w:sz w:val="28"/>
          <w:szCs w:val="28"/>
          <w:highlight w:val="none"/>
        </w:rPr>
        <w:t>密封袋外包封上应</w:t>
      </w:r>
      <w:r>
        <w:rPr>
          <w:rFonts w:hint="eastAsia" w:ascii="仿宋_GB2312" w:hAnsi="仿宋_GB2312" w:eastAsia="仿宋_GB2312" w:cs="仿宋_GB2312"/>
          <w:color w:val="auto"/>
          <w:sz w:val="28"/>
          <w:szCs w:val="28"/>
          <w:highlight w:val="none"/>
          <w:lang w:eastAsia="zh-CN"/>
        </w:rPr>
        <w:t>标明</w:t>
      </w:r>
      <w:r>
        <w:rPr>
          <w:rFonts w:hint="eastAsia" w:ascii="仿宋_GB2312" w:hAnsi="仿宋_GB2312" w:eastAsia="仿宋_GB2312" w:cs="仿宋_GB2312"/>
          <w:color w:val="auto"/>
          <w:sz w:val="28"/>
          <w:szCs w:val="28"/>
          <w:highlight w:val="none"/>
        </w:rPr>
        <w:t>：</w:t>
      </w:r>
    </w:p>
    <w:p w14:paraId="04158609">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（1）项目名称：</w:t>
      </w:r>
      <w:r>
        <w:rPr>
          <w:rFonts w:hint="eastAsia" w:ascii="仿宋_GB2312" w:hAnsi="仿宋_GB2312" w:eastAsia="仿宋_GB2312" w:cs="仿宋_GB2312"/>
          <w:color w:val="auto"/>
          <w:sz w:val="28"/>
          <w:szCs w:val="28"/>
          <w:highlight w:val="none"/>
          <w:lang w:val="en-US" w:eastAsia="zh-CN"/>
        </w:rPr>
        <w:t>安徽新安银行</w:t>
      </w:r>
      <w:r>
        <w:rPr>
          <w:rFonts w:hint="eastAsia" w:ascii="仿宋_GB2312" w:hAnsi="仿宋_GB2312" w:eastAsia="仿宋_GB2312" w:cs="仿宋_GB2312"/>
          <w:color w:val="auto"/>
          <w:sz w:val="28"/>
          <w:szCs w:val="28"/>
          <w:highlight w:val="none"/>
        </w:rPr>
        <w:t>办公电脑</w:t>
      </w:r>
      <w:r>
        <w:rPr>
          <w:rFonts w:hint="eastAsia" w:ascii="仿宋_GB2312" w:hAnsi="仿宋_GB2312" w:eastAsia="仿宋_GB2312" w:cs="仿宋_GB2312"/>
          <w:color w:val="auto"/>
          <w:sz w:val="28"/>
          <w:szCs w:val="28"/>
          <w:highlight w:val="none"/>
          <w:lang w:val="en-US" w:eastAsia="zh-CN"/>
        </w:rPr>
        <w:t>采购项目</w:t>
      </w:r>
      <w:r>
        <w:rPr>
          <w:rFonts w:hint="eastAsia" w:ascii="仿宋_GB2312" w:hAnsi="仿宋_GB2312" w:eastAsia="仿宋_GB2312" w:cs="仿宋_GB2312"/>
          <w:color w:val="auto"/>
          <w:sz w:val="28"/>
          <w:szCs w:val="28"/>
          <w:highlight w:val="none"/>
        </w:rPr>
        <w:t>；</w:t>
      </w:r>
    </w:p>
    <w:p w14:paraId="19D84A3A">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8"/>
          <w:highlight w:val="none"/>
          <w:lang w:val="en-US" w:eastAsia="zh-CN"/>
        </w:rPr>
        <w:t>投标人单位</w:t>
      </w:r>
      <w:r>
        <w:rPr>
          <w:rFonts w:hint="eastAsia" w:ascii="仿宋_GB2312" w:hAnsi="仿宋_GB2312" w:eastAsia="仿宋_GB2312" w:cs="仿宋_GB2312"/>
          <w:color w:val="auto"/>
          <w:sz w:val="28"/>
          <w:szCs w:val="28"/>
          <w:highlight w:val="none"/>
        </w:rPr>
        <w:t>名称（加盖单位公章）；</w:t>
      </w:r>
    </w:p>
    <w:p w14:paraId="7D865E35">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（3）联系人及联系方式。</w:t>
      </w:r>
    </w:p>
    <w:p w14:paraId="12D2B787">
      <w:pPr>
        <w:keepNext w:val="0"/>
        <w:keepLines w:val="0"/>
        <w:pageBreakBefore w:val="0"/>
        <w:overflowPunct/>
        <w:bidi w:val="0"/>
        <w:spacing w:line="360" w:lineRule="auto"/>
        <w:ind w:firstLine="554" w:firstLineChars="198"/>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（二）</w:t>
      </w:r>
      <w:r>
        <w:rPr>
          <w:rFonts w:hint="eastAsia" w:ascii="仿宋_GB2312" w:hAnsi="仿宋_GB2312" w:eastAsia="仿宋_GB2312" w:cs="仿宋_GB2312"/>
          <w:bCs/>
          <w:color w:val="auto"/>
          <w:sz w:val="28"/>
          <w:szCs w:val="28"/>
          <w:highlight w:val="none"/>
          <w:lang w:val="en-US" w:eastAsia="zh-CN"/>
        </w:rPr>
        <w:t>投标</w:t>
      </w:r>
      <w:r>
        <w:rPr>
          <w:rFonts w:hint="eastAsia" w:ascii="仿宋_GB2312" w:hAnsi="仿宋_GB2312" w:eastAsia="仿宋_GB2312" w:cs="仿宋_GB2312"/>
          <w:bCs/>
          <w:color w:val="auto"/>
          <w:sz w:val="28"/>
          <w:szCs w:val="28"/>
          <w:highlight w:val="none"/>
        </w:rPr>
        <w:t>文件的报送</w:t>
      </w:r>
    </w:p>
    <w:p w14:paraId="012EEE27">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应按</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文件规定的时间派人将</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文件送至</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人。</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文件递交截止时间后送达的</w:t>
      </w: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w:t>
      </w:r>
      <w:r>
        <w:rPr>
          <w:rFonts w:hint="eastAsia" w:ascii="仿宋_GB2312" w:hAnsi="仿宋_GB2312" w:eastAsia="仿宋_GB2312" w:cs="仿宋_GB2312"/>
          <w:color w:val="auto"/>
          <w:sz w:val="28"/>
          <w:szCs w:val="28"/>
          <w:highlight w:val="none"/>
          <w:lang w:val="en-US" w:eastAsia="zh-CN"/>
        </w:rPr>
        <w:t>招标</w:t>
      </w:r>
      <w:r>
        <w:rPr>
          <w:rFonts w:hint="eastAsia" w:ascii="仿宋_GB2312" w:hAnsi="仿宋_GB2312" w:eastAsia="仿宋_GB2312" w:cs="仿宋_GB2312"/>
          <w:color w:val="auto"/>
          <w:sz w:val="28"/>
          <w:szCs w:val="28"/>
          <w:highlight w:val="none"/>
        </w:rPr>
        <w:t>人将拒绝接收。</w:t>
      </w:r>
    </w:p>
    <w:p w14:paraId="3A5102A7">
      <w:pPr>
        <w:keepNext w:val="0"/>
        <w:keepLines w:val="0"/>
        <w:pageBreakBefore w:val="0"/>
        <w:overflowPunct/>
        <w:bidi w:val="0"/>
        <w:spacing w:line="360" w:lineRule="auto"/>
        <w:ind w:firstLine="554" w:firstLineChars="198"/>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投标</w:t>
      </w:r>
      <w:r>
        <w:rPr>
          <w:rFonts w:hint="eastAsia" w:ascii="仿宋_GB2312" w:hAnsi="仿宋_GB2312" w:eastAsia="仿宋_GB2312" w:cs="仿宋_GB2312"/>
          <w:color w:val="auto"/>
          <w:sz w:val="28"/>
          <w:szCs w:val="28"/>
          <w:highlight w:val="none"/>
        </w:rPr>
        <w:t>文件有效期为60</w:t>
      </w:r>
      <w:r>
        <w:rPr>
          <w:rFonts w:hint="default" w:ascii="仿宋_GB2312" w:hAnsi="仿宋_GB2312" w:eastAsia="仿宋_GB2312" w:cs="仿宋_GB2312"/>
          <w:color w:val="auto"/>
          <w:sz w:val="28"/>
          <w:szCs w:val="28"/>
          <w:highlight w:val="none"/>
          <w:lang w:val="en-US"/>
        </w:rPr>
        <w:t>个工作日</w:t>
      </w:r>
      <w:r>
        <w:rPr>
          <w:rFonts w:hint="eastAsia" w:ascii="仿宋_GB2312" w:hAnsi="仿宋_GB2312" w:eastAsia="仿宋_GB2312" w:cs="仿宋_GB2312"/>
          <w:color w:val="auto"/>
          <w:sz w:val="28"/>
          <w:szCs w:val="28"/>
          <w:highlight w:val="none"/>
        </w:rPr>
        <w:t>。</w:t>
      </w:r>
    </w:p>
    <w:p w14:paraId="1F5663A7">
      <w:pPr>
        <w:keepNext w:val="0"/>
        <w:keepLines w:val="0"/>
        <w:pageBreakBefore w:val="0"/>
        <w:overflowPunct/>
        <w:bidi w:val="0"/>
        <w:spacing w:line="360" w:lineRule="auto"/>
        <w:ind w:firstLine="560" w:firstLineChars="200"/>
        <w:outlineLvl w:val="1"/>
        <w:rPr>
          <w:rFonts w:hint="eastAsia" w:ascii="仿宋_GB2312" w:hAnsi="仿宋_GB2312" w:eastAsia="仿宋_GB2312" w:cs="仿宋_GB2312"/>
          <w:color w:val="auto"/>
          <w:sz w:val="28"/>
          <w:szCs w:val="28"/>
          <w:highlight w:val="none"/>
        </w:rPr>
      </w:pPr>
      <w:bookmarkStart w:id="381" w:name="_Toc5145"/>
      <w:bookmarkStart w:id="382" w:name="_Toc17457"/>
      <w:bookmarkStart w:id="383" w:name="_Toc12500"/>
      <w:bookmarkStart w:id="384" w:name="_Toc573"/>
      <w:bookmarkStart w:id="385" w:name="_Toc3985"/>
      <w:bookmarkStart w:id="386" w:name="_Toc25879"/>
      <w:bookmarkStart w:id="387" w:name="_Toc18851"/>
      <w:bookmarkStart w:id="388" w:name="_Toc20167"/>
      <w:bookmarkStart w:id="389" w:name="_Toc19556"/>
      <w:bookmarkStart w:id="390" w:name="_Toc17217"/>
      <w:bookmarkStart w:id="391" w:name="_Toc4723"/>
      <w:bookmarkStart w:id="392" w:name="_Toc25323"/>
      <w:bookmarkStart w:id="393" w:name="_Toc18832"/>
      <w:bookmarkStart w:id="394" w:name="_Toc3730"/>
      <w:bookmarkStart w:id="395" w:name="_Toc14144"/>
      <w:bookmarkStart w:id="396" w:name="_Toc5378"/>
      <w:bookmarkStart w:id="397" w:name="_Toc13954"/>
      <w:bookmarkStart w:id="398" w:name="_Toc15980"/>
      <w:bookmarkStart w:id="399" w:name="_Toc11515"/>
      <w:bookmarkStart w:id="400" w:name="_Toc6231"/>
      <w:bookmarkStart w:id="401" w:name="_Toc26659"/>
      <w:bookmarkStart w:id="402" w:name="_Toc31904"/>
      <w:bookmarkStart w:id="403" w:name="_Toc17878"/>
      <w:bookmarkStart w:id="404" w:name="_Toc15651"/>
      <w:r>
        <w:rPr>
          <w:rFonts w:hint="eastAsia" w:ascii="仿宋_GB2312" w:hAnsi="仿宋_GB2312" w:eastAsia="仿宋_GB2312" w:cs="仿宋_GB2312"/>
          <w:color w:val="auto"/>
          <w:sz w:val="28"/>
          <w:szCs w:val="28"/>
          <w:highlight w:val="none"/>
          <w:lang w:val="en-US" w:eastAsia="zh-CN"/>
        </w:rPr>
        <w:t>六</w:t>
      </w:r>
      <w:r>
        <w:rPr>
          <w:rFonts w:hint="eastAsia" w:ascii="仿宋_GB2312" w:hAnsi="仿宋_GB2312" w:eastAsia="仿宋_GB2312" w:cs="仿宋_GB2312"/>
          <w:color w:val="auto"/>
          <w:sz w:val="28"/>
          <w:szCs w:val="28"/>
          <w:highlight w:val="none"/>
        </w:rPr>
        <w:t>、推荐成交候选人</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7095E97B">
      <w:pPr>
        <w:keepNext w:val="0"/>
        <w:keepLines w:val="0"/>
        <w:pageBreakBefore w:val="0"/>
        <w:overflowPunct/>
        <w:bidi w:val="0"/>
        <w:spacing w:line="360" w:lineRule="auto"/>
        <w:ind w:firstLine="554" w:firstLineChars="198"/>
        <w:outlineLvl w:val="9"/>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（一）</w:t>
      </w:r>
      <w:r>
        <w:rPr>
          <w:rFonts w:hint="eastAsia" w:ascii="仿宋_GB2312" w:hAnsi="仿宋_GB2312" w:eastAsia="仿宋_GB2312" w:cs="仿宋_GB2312"/>
          <w:bCs/>
          <w:color w:val="auto"/>
          <w:sz w:val="28"/>
          <w:szCs w:val="28"/>
          <w:highlight w:val="none"/>
          <w:lang w:val="en-US" w:eastAsia="zh-CN"/>
        </w:rPr>
        <w:t>评审</w:t>
      </w:r>
      <w:r>
        <w:rPr>
          <w:rFonts w:hint="eastAsia" w:ascii="仿宋_GB2312" w:hAnsi="仿宋_GB2312" w:eastAsia="仿宋_GB2312" w:cs="仿宋_GB2312"/>
          <w:bCs/>
          <w:color w:val="auto"/>
          <w:sz w:val="28"/>
          <w:szCs w:val="28"/>
          <w:highlight w:val="none"/>
        </w:rPr>
        <w:t>小组</w:t>
      </w:r>
    </w:p>
    <w:p w14:paraId="2230F01B">
      <w:pPr>
        <w:keepNext w:val="0"/>
        <w:keepLines w:val="0"/>
        <w:pageBreakBefore w:val="0"/>
        <w:overflowPunct/>
        <w:bidi w:val="0"/>
        <w:spacing w:line="360" w:lineRule="auto"/>
        <w:ind w:firstLine="600"/>
        <w:outlineLvl w:val="9"/>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招标</w:t>
      </w:r>
      <w:r>
        <w:rPr>
          <w:rFonts w:hint="eastAsia" w:ascii="仿宋_GB2312" w:hAnsi="仿宋_GB2312" w:eastAsia="仿宋_GB2312" w:cs="仿宋_GB2312"/>
          <w:bCs/>
          <w:color w:val="auto"/>
          <w:sz w:val="28"/>
          <w:szCs w:val="28"/>
          <w:highlight w:val="none"/>
        </w:rPr>
        <w:t>人根据本项目特点组建</w:t>
      </w:r>
      <w:r>
        <w:rPr>
          <w:rFonts w:hint="eastAsia" w:ascii="仿宋_GB2312" w:hAnsi="仿宋_GB2312" w:eastAsia="仿宋_GB2312" w:cs="仿宋_GB2312"/>
          <w:bCs/>
          <w:color w:val="auto"/>
          <w:sz w:val="28"/>
          <w:szCs w:val="28"/>
          <w:highlight w:val="none"/>
          <w:lang w:val="en-US" w:eastAsia="zh-CN"/>
        </w:rPr>
        <w:t>评审</w:t>
      </w:r>
      <w:r>
        <w:rPr>
          <w:rFonts w:hint="eastAsia" w:ascii="仿宋_GB2312" w:hAnsi="仿宋_GB2312" w:eastAsia="仿宋_GB2312" w:cs="仿宋_GB2312"/>
          <w:bCs/>
          <w:color w:val="auto"/>
          <w:sz w:val="28"/>
          <w:szCs w:val="28"/>
          <w:highlight w:val="none"/>
        </w:rPr>
        <w:t>小组</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对初审合格的投标人进行评审，评审出候选人</w:t>
      </w:r>
      <w:r>
        <w:rPr>
          <w:rFonts w:hint="eastAsia" w:ascii="仿宋_GB2312" w:hAnsi="仿宋_GB2312" w:eastAsia="仿宋_GB2312" w:cs="仿宋_GB2312"/>
          <w:bCs/>
          <w:color w:val="auto"/>
          <w:sz w:val="28"/>
          <w:szCs w:val="28"/>
          <w:highlight w:val="none"/>
        </w:rPr>
        <w:t>。</w:t>
      </w:r>
    </w:p>
    <w:p w14:paraId="034E6964">
      <w:pPr>
        <w:keepNext w:val="0"/>
        <w:keepLines w:val="0"/>
        <w:pageBreakBefore w:val="0"/>
        <w:overflowPunct/>
        <w:bidi w:val="0"/>
        <w:spacing w:line="360" w:lineRule="auto"/>
        <w:ind w:firstLine="554" w:firstLineChars="198"/>
        <w:outlineLvl w:val="9"/>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（二）评审方法</w:t>
      </w:r>
    </w:p>
    <w:p w14:paraId="2D6219AC">
      <w:pPr>
        <w:keepNext w:val="0"/>
        <w:keepLines w:val="0"/>
        <w:pageBreakBefore w:val="0"/>
        <w:overflowPunct/>
        <w:bidi w:val="0"/>
        <w:spacing w:line="360" w:lineRule="auto"/>
        <w:ind w:firstLine="600"/>
        <w:outlineLvl w:val="9"/>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采用综合评分法。</w:t>
      </w:r>
      <w:r>
        <w:rPr>
          <w:rFonts w:hint="eastAsia" w:ascii="仿宋_GB2312" w:hAnsi="仿宋_GB2312" w:eastAsia="仿宋_GB2312" w:cs="仿宋_GB2312"/>
          <w:bCs/>
          <w:color w:val="auto"/>
          <w:sz w:val="28"/>
          <w:szCs w:val="28"/>
          <w:highlight w:val="none"/>
          <w:lang w:val="en-US" w:eastAsia="zh-CN"/>
        </w:rPr>
        <w:t>评审</w:t>
      </w:r>
      <w:r>
        <w:rPr>
          <w:rFonts w:hint="eastAsia" w:ascii="仿宋_GB2312" w:hAnsi="仿宋_GB2312" w:eastAsia="仿宋_GB2312" w:cs="仿宋_GB2312"/>
          <w:bCs/>
          <w:color w:val="auto"/>
          <w:sz w:val="28"/>
          <w:szCs w:val="28"/>
          <w:highlight w:val="none"/>
        </w:rPr>
        <w:t>小组将依据</w:t>
      </w:r>
      <w:r>
        <w:rPr>
          <w:rFonts w:hint="eastAsia" w:ascii="仿宋_GB2312" w:hAnsi="仿宋_GB2312" w:eastAsia="仿宋_GB2312" w:cs="仿宋_GB2312"/>
          <w:bCs/>
          <w:color w:val="auto"/>
          <w:sz w:val="28"/>
          <w:szCs w:val="28"/>
          <w:highlight w:val="none"/>
          <w:lang w:val="en-US" w:eastAsia="zh-CN"/>
        </w:rPr>
        <w:t>招标</w:t>
      </w:r>
      <w:r>
        <w:rPr>
          <w:rFonts w:hint="eastAsia" w:ascii="仿宋_GB2312" w:hAnsi="仿宋_GB2312" w:eastAsia="仿宋_GB2312" w:cs="仿宋_GB2312"/>
          <w:bCs/>
          <w:color w:val="auto"/>
          <w:sz w:val="28"/>
          <w:szCs w:val="28"/>
          <w:highlight w:val="none"/>
        </w:rPr>
        <w:t>文件和</w:t>
      </w:r>
      <w:r>
        <w:rPr>
          <w:rFonts w:hint="eastAsia" w:ascii="仿宋_GB2312" w:hAnsi="仿宋_GB2312" w:eastAsia="仿宋_GB2312" w:cs="仿宋_GB2312"/>
          <w:bCs/>
          <w:color w:val="auto"/>
          <w:sz w:val="28"/>
          <w:szCs w:val="28"/>
          <w:highlight w:val="none"/>
          <w:lang w:val="en-US" w:eastAsia="zh-CN"/>
        </w:rPr>
        <w:t>投标</w:t>
      </w:r>
      <w:r>
        <w:rPr>
          <w:rFonts w:hint="eastAsia" w:ascii="仿宋_GB2312" w:hAnsi="仿宋_GB2312" w:eastAsia="仿宋_GB2312" w:cs="仿宋_GB2312"/>
          <w:bCs/>
          <w:color w:val="auto"/>
          <w:sz w:val="28"/>
          <w:szCs w:val="28"/>
          <w:highlight w:val="none"/>
        </w:rPr>
        <w:t>文件综合评审。根据</w:t>
      </w:r>
      <w:r>
        <w:rPr>
          <w:rFonts w:hint="eastAsia" w:ascii="仿宋_GB2312" w:hAnsi="仿宋_GB2312" w:eastAsia="仿宋_GB2312" w:cs="仿宋_GB2312"/>
          <w:bCs/>
          <w:color w:val="auto"/>
          <w:sz w:val="28"/>
          <w:szCs w:val="28"/>
          <w:highlight w:val="none"/>
          <w:lang w:val="en-US" w:eastAsia="zh-CN"/>
        </w:rPr>
        <w:t>评审</w:t>
      </w:r>
      <w:r>
        <w:rPr>
          <w:rFonts w:hint="eastAsia" w:ascii="仿宋_GB2312" w:hAnsi="仿宋_GB2312" w:eastAsia="仿宋_GB2312" w:cs="仿宋_GB2312"/>
          <w:bCs/>
          <w:color w:val="auto"/>
          <w:sz w:val="28"/>
          <w:szCs w:val="28"/>
          <w:highlight w:val="none"/>
        </w:rPr>
        <w:t>小组成员评分均值从高到低排出名次。如得分存在并列第一名的情形，则</w:t>
      </w:r>
      <w:r>
        <w:rPr>
          <w:rFonts w:hint="eastAsia" w:ascii="仿宋_GB2312" w:hAnsi="仿宋_GB2312" w:eastAsia="仿宋_GB2312" w:cs="仿宋_GB2312"/>
          <w:bCs/>
          <w:color w:val="auto"/>
          <w:sz w:val="28"/>
          <w:szCs w:val="28"/>
          <w:highlight w:val="none"/>
          <w:lang w:val="en-US" w:eastAsia="zh-CN"/>
        </w:rPr>
        <w:t>按报价由低到高</w:t>
      </w:r>
      <w:r>
        <w:rPr>
          <w:rFonts w:hint="eastAsia" w:ascii="仿宋_GB2312" w:hAnsi="仿宋_GB2312" w:eastAsia="仿宋_GB2312" w:cs="仿宋_GB2312"/>
          <w:bCs/>
          <w:color w:val="auto"/>
          <w:sz w:val="28"/>
          <w:szCs w:val="28"/>
          <w:highlight w:val="none"/>
        </w:rPr>
        <w:t>排定名次。</w:t>
      </w:r>
    </w:p>
    <w:p w14:paraId="77C9BC14">
      <w:pPr>
        <w:keepNext w:val="0"/>
        <w:keepLines w:val="0"/>
        <w:pageBreakBefore w:val="0"/>
        <w:overflowPunct/>
        <w:bidi w:val="0"/>
        <w:spacing w:line="360" w:lineRule="auto"/>
        <w:ind w:firstLine="554" w:firstLineChars="198"/>
        <w:outlineLvl w:val="1"/>
        <w:rPr>
          <w:rFonts w:hint="eastAsia" w:ascii="仿宋_GB2312" w:hAnsi="仿宋_GB2312" w:eastAsia="仿宋_GB2312" w:cs="仿宋_GB2312"/>
          <w:b w:val="0"/>
          <w:bCs w:val="0"/>
          <w:color w:val="auto"/>
          <w:sz w:val="28"/>
          <w:szCs w:val="28"/>
          <w:highlight w:val="none"/>
        </w:rPr>
      </w:pPr>
      <w:bookmarkStart w:id="405" w:name="_Toc24335"/>
      <w:bookmarkStart w:id="406" w:name="_Toc194"/>
      <w:bookmarkStart w:id="407" w:name="_Toc17747"/>
      <w:bookmarkStart w:id="408" w:name="_Toc27870"/>
      <w:bookmarkStart w:id="409" w:name="_Toc26627"/>
      <w:bookmarkStart w:id="410" w:name="_Toc3359"/>
      <w:bookmarkStart w:id="411" w:name="_Toc14484"/>
      <w:bookmarkStart w:id="412" w:name="_Toc18492"/>
      <w:bookmarkStart w:id="413" w:name="_Toc16813"/>
      <w:bookmarkStart w:id="414" w:name="_Toc24522"/>
      <w:bookmarkStart w:id="415" w:name="_Toc15585"/>
      <w:bookmarkStart w:id="416" w:name="_Toc20374"/>
      <w:bookmarkStart w:id="417" w:name="_Toc17045"/>
      <w:bookmarkStart w:id="418" w:name="_Toc952"/>
      <w:bookmarkStart w:id="419" w:name="_Toc26404"/>
      <w:bookmarkStart w:id="420" w:name="_Toc5683"/>
      <w:bookmarkStart w:id="421" w:name="_Toc5611"/>
      <w:bookmarkStart w:id="422" w:name="_Toc18653"/>
      <w:bookmarkStart w:id="423" w:name="_Toc26601"/>
      <w:bookmarkStart w:id="424" w:name="_Toc24005"/>
      <w:bookmarkStart w:id="425" w:name="_Toc14934"/>
      <w:bookmarkStart w:id="426" w:name="_Toc5973"/>
      <w:bookmarkStart w:id="427" w:name="_Toc18514"/>
      <w:bookmarkStart w:id="428" w:name="_Toc29447"/>
      <w:r>
        <w:rPr>
          <w:rFonts w:hint="eastAsia" w:ascii="仿宋_GB2312" w:hAnsi="仿宋_GB2312" w:eastAsia="仿宋_GB2312" w:cs="仿宋_GB2312"/>
          <w:b w:val="0"/>
          <w:bCs w:val="0"/>
          <w:color w:val="auto"/>
          <w:sz w:val="28"/>
          <w:szCs w:val="28"/>
          <w:highlight w:val="none"/>
          <w:lang w:val="en-US" w:eastAsia="zh-CN"/>
        </w:rPr>
        <w:t>七、</w:t>
      </w:r>
      <w:r>
        <w:rPr>
          <w:rFonts w:hint="eastAsia" w:ascii="仿宋_GB2312" w:hAnsi="仿宋_GB2312" w:eastAsia="仿宋_GB2312" w:cs="仿宋_GB2312"/>
          <w:b w:val="0"/>
          <w:bCs w:val="0"/>
          <w:color w:val="auto"/>
          <w:sz w:val="28"/>
          <w:szCs w:val="28"/>
          <w:highlight w:val="none"/>
        </w:rPr>
        <w:t>确定成交人</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3545AADA">
      <w:pPr>
        <w:keepNext w:val="0"/>
        <w:keepLines w:val="0"/>
        <w:pageBreakBefore w:val="0"/>
        <w:overflowPunct/>
        <w:bidi w:val="0"/>
        <w:spacing w:line="360" w:lineRule="auto"/>
        <w:ind w:firstLine="560" w:firstLineChars="200"/>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1.确定成交人原则。本次招标遵循“公开、公平、公正、择优”的原则，对初审合格的投标人进行评定，以相同的程序和方法严格按照招标人的要求进行。</w:t>
      </w:r>
    </w:p>
    <w:p w14:paraId="46D02998">
      <w:pPr>
        <w:keepNext w:val="0"/>
        <w:keepLines w:val="0"/>
        <w:pageBreakBefore w:val="0"/>
        <w:overflowPunct/>
        <w:bidi w:val="0"/>
        <w:spacing w:line="360" w:lineRule="auto"/>
        <w:ind w:firstLine="560" w:firstLineChars="200"/>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2.确定成交人。招标人根据采购评审小组推荐的候选人研究确定成交人，原则上应确定排名第一的候选人为成交人。如果排名在前的投标人放弃中选资格，可根据排名由后续候选人依次递补或重新采购。</w:t>
      </w:r>
    </w:p>
    <w:p w14:paraId="501531D2">
      <w:pPr>
        <w:keepNext w:val="0"/>
        <w:keepLines w:val="0"/>
        <w:pageBreakBefore w:val="0"/>
        <w:overflowPunct/>
        <w:bidi w:val="0"/>
        <w:spacing w:line="360" w:lineRule="auto"/>
        <w:ind w:firstLine="560" w:firstLineChars="200"/>
        <w:outlineLvl w:val="1"/>
        <w:rPr>
          <w:rFonts w:hint="eastAsia" w:ascii="仿宋_GB2312" w:hAnsi="仿宋_GB2312" w:eastAsia="仿宋_GB2312" w:cs="仿宋_GB2312"/>
          <w:color w:val="auto"/>
          <w:sz w:val="28"/>
          <w:szCs w:val="28"/>
          <w:highlight w:val="none"/>
        </w:rPr>
      </w:pPr>
      <w:bookmarkStart w:id="429" w:name="_Toc18309"/>
      <w:bookmarkStart w:id="430" w:name="_Toc5767"/>
      <w:bookmarkStart w:id="431" w:name="_Toc2746"/>
      <w:bookmarkStart w:id="432" w:name="_Toc6989"/>
      <w:bookmarkStart w:id="433" w:name="_Toc1716"/>
      <w:bookmarkStart w:id="434" w:name="_Toc8906"/>
      <w:bookmarkStart w:id="435" w:name="_Toc32100"/>
      <w:bookmarkStart w:id="436" w:name="_Toc15779"/>
      <w:bookmarkStart w:id="437" w:name="_Toc6977"/>
      <w:bookmarkStart w:id="438" w:name="_Toc13597"/>
      <w:bookmarkStart w:id="439" w:name="_Toc22441"/>
      <w:bookmarkStart w:id="440" w:name="_Toc8918"/>
      <w:bookmarkStart w:id="441" w:name="_Toc29709"/>
      <w:bookmarkStart w:id="442" w:name="_Toc29581"/>
      <w:bookmarkStart w:id="443" w:name="_Toc835"/>
      <w:bookmarkStart w:id="444" w:name="_Toc22820"/>
      <w:bookmarkStart w:id="445" w:name="_Toc1466"/>
      <w:bookmarkStart w:id="446" w:name="_Toc31767"/>
      <w:bookmarkStart w:id="447" w:name="_Toc30168"/>
      <w:bookmarkStart w:id="448" w:name="_Toc10364"/>
      <w:bookmarkStart w:id="449" w:name="_Toc20951"/>
      <w:bookmarkStart w:id="450" w:name="_Toc30784"/>
      <w:bookmarkStart w:id="451" w:name="_Toc4559"/>
      <w:bookmarkStart w:id="452" w:name="_Toc5002"/>
      <w:r>
        <w:rPr>
          <w:rFonts w:hint="eastAsia" w:ascii="仿宋_GB2312" w:hAnsi="仿宋_GB2312" w:eastAsia="仿宋_GB2312" w:cs="仿宋_GB2312"/>
          <w:color w:val="auto"/>
          <w:sz w:val="28"/>
          <w:szCs w:val="28"/>
          <w:highlight w:val="none"/>
          <w:lang w:val="en-US" w:eastAsia="zh-CN"/>
        </w:rPr>
        <w:t>八</w:t>
      </w:r>
      <w:r>
        <w:rPr>
          <w:rFonts w:hint="eastAsia" w:ascii="仿宋_GB2312" w:hAnsi="仿宋_GB2312" w:eastAsia="仿宋_GB2312" w:cs="仿宋_GB2312"/>
          <w:color w:val="auto"/>
          <w:sz w:val="28"/>
          <w:szCs w:val="28"/>
          <w:highlight w:val="none"/>
        </w:rPr>
        <w:t>、中选通知</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36BCA0D3">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确定中选供给方后，</w:t>
      </w:r>
      <w:r>
        <w:rPr>
          <w:rFonts w:hint="eastAsia" w:ascii="仿宋_GB2312" w:hAnsi="仿宋_GB2312" w:eastAsia="仿宋_GB2312" w:cs="仿宋_GB2312"/>
          <w:color w:val="auto"/>
          <w:sz w:val="28"/>
          <w:szCs w:val="28"/>
          <w:highlight w:val="none"/>
          <w:lang w:val="en-US" w:eastAsia="zh-CN"/>
        </w:rPr>
        <w:t>招标人</w:t>
      </w:r>
      <w:r>
        <w:rPr>
          <w:rFonts w:hint="eastAsia" w:ascii="仿宋_GB2312" w:hAnsi="仿宋_GB2312" w:eastAsia="仿宋_GB2312" w:cs="仿宋_GB2312"/>
          <w:color w:val="auto"/>
          <w:sz w:val="28"/>
          <w:szCs w:val="28"/>
          <w:highlight w:val="none"/>
        </w:rPr>
        <w:t>签发</w:t>
      </w:r>
      <w:r>
        <w:rPr>
          <w:rFonts w:hint="eastAsia" w:ascii="仿宋_GB2312" w:hAnsi="仿宋_GB2312" w:eastAsia="仿宋_GB2312" w:cs="仿宋_GB2312"/>
          <w:color w:val="auto"/>
          <w:sz w:val="28"/>
          <w:szCs w:val="28"/>
          <w:highlight w:val="none"/>
          <w:lang w:eastAsia="zh-CN"/>
        </w:rPr>
        <w:t>《中标通知书》</w:t>
      </w:r>
      <w:r>
        <w:rPr>
          <w:rFonts w:hint="eastAsia" w:ascii="仿宋_GB2312" w:hAnsi="仿宋_GB2312" w:eastAsia="仿宋_GB2312" w:cs="仿宋_GB2312"/>
          <w:color w:val="auto"/>
          <w:sz w:val="28"/>
          <w:szCs w:val="28"/>
          <w:highlight w:val="none"/>
        </w:rPr>
        <w:t>并通知中选单位。</w:t>
      </w:r>
    </w:p>
    <w:p w14:paraId="0779BDDD">
      <w:pPr>
        <w:keepNext w:val="0"/>
        <w:keepLines w:val="0"/>
        <w:pageBreakBefore w:val="0"/>
        <w:overflowPunct/>
        <w:bidi w:val="0"/>
        <w:spacing w:line="360" w:lineRule="auto"/>
        <w:ind w:firstLine="560" w:firstLineChars="200"/>
        <w:outlineLvl w:val="1"/>
        <w:rPr>
          <w:rFonts w:hint="eastAsia" w:ascii="仿宋_GB2312" w:hAnsi="仿宋_GB2312" w:eastAsia="仿宋_GB2312" w:cs="仿宋_GB2312"/>
          <w:color w:val="auto"/>
          <w:sz w:val="28"/>
          <w:szCs w:val="28"/>
          <w:highlight w:val="none"/>
          <w:lang w:val="en-US" w:eastAsia="zh-CN"/>
        </w:rPr>
      </w:pPr>
      <w:bookmarkStart w:id="453" w:name="_Toc31691"/>
      <w:bookmarkStart w:id="454" w:name="_Toc17356"/>
      <w:bookmarkStart w:id="455" w:name="_Toc15881"/>
      <w:bookmarkStart w:id="456" w:name="_Toc4114"/>
      <w:bookmarkStart w:id="457" w:name="_Toc9863"/>
      <w:bookmarkStart w:id="458" w:name="_Toc22322"/>
      <w:bookmarkStart w:id="459" w:name="_Toc7229"/>
      <w:bookmarkStart w:id="460" w:name="_Toc25693"/>
      <w:bookmarkStart w:id="461" w:name="_Toc24030"/>
      <w:bookmarkStart w:id="462" w:name="_Toc22631"/>
      <w:bookmarkStart w:id="463" w:name="_Toc15579"/>
      <w:bookmarkStart w:id="464" w:name="_Toc23957"/>
      <w:bookmarkStart w:id="465" w:name="_Toc18096"/>
      <w:bookmarkStart w:id="466" w:name="_Toc28908"/>
      <w:bookmarkStart w:id="467" w:name="_Toc18696"/>
      <w:bookmarkStart w:id="468" w:name="_Toc32416"/>
      <w:bookmarkStart w:id="469" w:name="_Toc19721"/>
      <w:bookmarkStart w:id="470" w:name="_Toc23959"/>
      <w:bookmarkStart w:id="471" w:name="_Toc29623"/>
      <w:bookmarkStart w:id="472" w:name="_Toc10539"/>
      <w:bookmarkStart w:id="473" w:name="_Toc32187"/>
      <w:bookmarkStart w:id="474" w:name="_Toc14416"/>
      <w:bookmarkStart w:id="475" w:name="_Toc8202"/>
      <w:bookmarkStart w:id="476" w:name="_Toc7373"/>
      <w:r>
        <w:rPr>
          <w:rFonts w:hint="eastAsia" w:ascii="仿宋_GB2312" w:hAnsi="仿宋_GB2312" w:eastAsia="仿宋_GB2312" w:cs="仿宋_GB2312"/>
          <w:color w:val="auto"/>
          <w:sz w:val="28"/>
          <w:szCs w:val="28"/>
          <w:highlight w:val="none"/>
          <w:lang w:val="en-US" w:eastAsia="zh-CN"/>
        </w:rPr>
        <w:t>九、合同签订与供货</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14:paraId="2E4C8548">
      <w:pPr>
        <w:keepNext w:val="0"/>
        <w:keepLines w:val="0"/>
        <w:pageBreakBefore w:val="0"/>
        <w:overflowPunct/>
        <w:bidi w:val="0"/>
        <w:spacing w:line="360" w:lineRule="auto"/>
        <w:ind w:firstLine="560" w:firstLineChars="200"/>
        <w:outlineLvl w:val="9"/>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lang w:val="en-US" w:eastAsia="zh-CN"/>
        </w:rPr>
        <w:t>定点投标人在接到定点中标通知后，应及时派授权代表到指定地点与招标人商谈签订合同，逾期按自动弃权处理。招标人有权另行选择其他投标人就本招标项目签订合同。签订合同时，招标人享有对采购的产品配置和相关服务项目进行变更的权利。合同签订生效后，中标单位应尽快完成招标产品的供货（10天内）与实施。</w:t>
      </w:r>
    </w:p>
    <w:p w14:paraId="355FEFCE">
      <w:pPr>
        <w:keepNext w:val="0"/>
        <w:keepLines w:val="0"/>
        <w:pageBreakBefore w:val="0"/>
        <w:overflowPunct/>
        <w:bidi w:val="0"/>
        <w:spacing w:line="360" w:lineRule="auto"/>
        <w:ind w:firstLine="554" w:firstLineChars="198"/>
        <w:outlineLvl w:val="1"/>
        <w:rPr>
          <w:rFonts w:hint="eastAsia" w:ascii="仿宋_GB2312" w:hAnsi="仿宋_GB2312" w:eastAsia="仿宋_GB2312" w:cs="仿宋_GB2312"/>
          <w:bCs/>
          <w:color w:val="auto"/>
          <w:sz w:val="28"/>
          <w:szCs w:val="28"/>
          <w:highlight w:val="none"/>
        </w:rPr>
      </w:pPr>
      <w:bookmarkStart w:id="477" w:name="_Toc19152"/>
      <w:bookmarkStart w:id="478" w:name="_Toc3027"/>
      <w:bookmarkStart w:id="479" w:name="_Toc7044"/>
      <w:bookmarkStart w:id="480" w:name="_Toc723"/>
      <w:bookmarkStart w:id="481" w:name="_Toc346"/>
      <w:bookmarkStart w:id="482" w:name="_Toc6942"/>
      <w:bookmarkStart w:id="483" w:name="_Toc5008"/>
      <w:bookmarkStart w:id="484" w:name="_Toc1763"/>
      <w:bookmarkStart w:id="485" w:name="_Toc3486"/>
      <w:bookmarkStart w:id="486" w:name="_Toc21226"/>
      <w:bookmarkStart w:id="487" w:name="_Toc31626"/>
      <w:bookmarkStart w:id="488" w:name="_Toc6434"/>
      <w:bookmarkStart w:id="489" w:name="_Toc2199"/>
      <w:bookmarkStart w:id="490" w:name="_Toc11292"/>
      <w:bookmarkStart w:id="491" w:name="_Toc22916"/>
      <w:bookmarkStart w:id="492" w:name="_Toc20218"/>
      <w:bookmarkStart w:id="493" w:name="_Toc1786"/>
      <w:bookmarkStart w:id="494" w:name="_Toc26865"/>
      <w:bookmarkStart w:id="495" w:name="_Toc12933"/>
      <w:bookmarkStart w:id="496" w:name="_Toc13183"/>
      <w:bookmarkStart w:id="497" w:name="_Toc13378"/>
      <w:bookmarkStart w:id="498" w:name="_Toc15081"/>
      <w:bookmarkStart w:id="499" w:name="_Toc9645"/>
      <w:bookmarkStart w:id="500" w:name="_Toc24574"/>
      <w:r>
        <w:rPr>
          <w:rFonts w:hint="eastAsia" w:ascii="仿宋_GB2312" w:hAnsi="仿宋_GB2312" w:eastAsia="仿宋_GB2312" w:cs="仿宋_GB2312"/>
          <w:bCs/>
          <w:color w:val="auto"/>
          <w:sz w:val="28"/>
          <w:szCs w:val="28"/>
          <w:highlight w:val="none"/>
          <w:lang w:val="en-US" w:eastAsia="zh-CN"/>
        </w:rPr>
        <w:t>十、</w:t>
      </w:r>
      <w:r>
        <w:rPr>
          <w:rFonts w:hint="eastAsia" w:ascii="仿宋_GB2312" w:hAnsi="仿宋_GB2312" w:eastAsia="仿宋_GB2312" w:cs="仿宋_GB2312"/>
          <w:bCs/>
          <w:color w:val="auto"/>
          <w:sz w:val="28"/>
          <w:szCs w:val="28"/>
          <w:highlight w:val="none"/>
        </w:rPr>
        <w:t>评审因素及分值一览表</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tbl>
      <w:tblPr>
        <w:tblStyle w:val="15"/>
        <w:tblW w:w="8520" w:type="dxa"/>
        <w:jc w:val="center"/>
        <w:tblLayout w:type="autofit"/>
        <w:tblCellMar>
          <w:top w:w="0" w:type="dxa"/>
          <w:left w:w="108" w:type="dxa"/>
          <w:bottom w:w="0" w:type="dxa"/>
          <w:right w:w="108" w:type="dxa"/>
        </w:tblCellMar>
      </w:tblPr>
      <w:tblGrid>
        <w:gridCol w:w="940"/>
        <w:gridCol w:w="1090"/>
        <w:gridCol w:w="5827"/>
        <w:gridCol w:w="663"/>
      </w:tblGrid>
      <w:tr w14:paraId="5FC41F75">
        <w:tblPrEx>
          <w:tblCellMar>
            <w:top w:w="0" w:type="dxa"/>
            <w:left w:w="108" w:type="dxa"/>
            <w:bottom w:w="0" w:type="dxa"/>
            <w:right w:w="108" w:type="dxa"/>
          </w:tblCellMar>
        </w:tblPrEx>
        <w:trPr>
          <w:trHeight w:val="270" w:hRule="atLeast"/>
          <w:jc w:val="center"/>
        </w:trPr>
        <w:tc>
          <w:tcPr>
            <w:tcW w:w="7857" w:type="dxa"/>
            <w:gridSpan w:val="3"/>
            <w:tcBorders>
              <w:top w:val="single" w:color="auto" w:sz="8" w:space="0"/>
              <w:left w:val="single" w:color="auto" w:sz="8" w:space="0"/>
              <w:bottom w:val="nil"/>
              <w:right w:val="single" w:color="auto" w:sz="4" w:space="0"/>
            </w:tcBorders>
            <w:shd w:val="clear" w:color="000000" w:fill="BFBFBF"/>
            <w:vAlign w:val="center"/>
          </w:tcPr>
          <w:p w14:paraId="455D3AA8">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评标办法中可设置的评分项目框架（产品类/货物类项目）</w:t>
            </w:r>
          </w:p>
        </w:tc>
        <w:tc>
          <w:tcPr>
            <w:tcW w:w="663" w:type="dxa"/>
            <w:tcBorders>
              <w:top w:val="single" w:color="auto" w:sz="8" w:space="0"/>
              <w:left w:val="nil"/>
              <w:bottom w:val="nil"/>
              <w:right w:val="single" w:color="auto" w:sz="8" w:space="0"/>
            </w:tcBorders>
            <w:shd w:val="clear" w:color="000000" w:fill="BFBFBF"/>
            <w:vAlign w:val="center"/>
          </w:tcPr>
          <w:p w14:paraId="7770CD2F">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分值</w:t>
            </w:r>
          </w:p>
        </w:tc>
      </w:tr>
      <w:tr w14:paraId="7D748187">
        <w:tblPrEx>
          <w:tblCellMar>
            <w:top w:w="0" w:type="dxa"/>
            <w:left w:w="108" w:type="dxa"/>
            <w:bottom w:w="0" w:type="dxa"/>
            <w:right w:w="108" w:type="dxa"/>
          </w:tblCellMar>
        </w:tblPrEx>
        <w:trPr>
          <w:trHeight w:val="1035" w:hRule="atLeast"/>
          <w:jc w:val="center"/>
        </w:trPr>
        <w:tc>
          <w:tcPr>
            <w:tcW w:w="940" w:type="dxa"/>
            <w:vMerge w:val="restart"/>
            <w:tcBorders>
              <w:top w:val="single" w:color="auto" w:sz="8" w:space="0"/>
              <w:left w:val="single" w:color="auto" w:sz="8" w:space="0"/>
              <w:bottom w:val="single" w:color="000000" w:sz="4" w:space="0"/>
              <w:right w:val="single" w:color="auto" w:sz="4" w:space="0"/>
            </w:tcBorders>
            <w:shd w:val="clear" w:color="auto" w:fill="auto"/>
            <w:vAlign w:val="center"/>
          </w:tcPr>
          <w:p w14:paraId="23784696">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商务标部分</w:t>
            </w:r>
          </w:p>
        </w:tc>
        <w:tc>
          <w:tcPr>
            <w:tcW w:w="1090" w:type="dxa"/>
            <w:vMerge w:val="restart"/>
            <w:tcBorders>
              <w:top w:val="single" w:color="auto" w:sz="8" w:space="0"/>
              <w:left w:val="single" w:color="auto" w:sz="4" w:space="0"/>
              <w:bottom w:val="nil"/>
              <w:right w:val="single" w:color="auto" w:sz="4" w:space="0"/>
            </w:tcBorders>
            <w:shd w:val="clear" w:color="auto" w:fill="auto"/>
            <w:vAlign w:val="center"/>
          </w:tcPr>
          <w:p w14:paraId="70FD2BFA">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投标产品综合评价</w:t>
            </w:r>
          </w:p>
        </w:tc>
        <w:tc>
          <w:tcPr>
            <w:tcW w:w="5827" w:type="dxa"/>
            <w:tcBorders>
              <w:top w:val="single" w:color="auto" w:sz="8" w:space="0"/>
              <w:left w:val="nil"/>
              <w:bottom w:val="single" w:color="auto" w:sz="4" w:space="0"/>
              <w:right w:val="single" w:color="auto" w:sz="4" w:space="0"/>
            </w:tcBorders>
            <w:shd w:val="clear" w:color="auto" w:fill="auto"/>
            <w:vAlign w:val="center"/>
          </w:tcPr>
          <w:p w14:paraId="7C656BC7">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所投产品制造商通过ISO9001质量管理体系、ISO27001</w:t>
            </w:r>
            <w:r>
              <w:rPr>
                <w:rFonts w:hint="default" w:ascii="仿宋_GB2312" w:hAnsi="仿宋_GB2312" w:eastAsia="仿宋_GB2312" w:cs="仿宋_GB2312"/>
                <w:color w:val="auto"/>
                <w:kern w:val="0"/>
                <w:sz w:val="21"/>
                <w:szCs w:val="21"/>
                <w:highlight w:val="none"/>
                <w:lang w:val="en-US"/>
              </w:rPr>
              <w:t>信息安全</w:t>
            </w:r>
            <w:r>
              <w:rPr>
                <w:rFonts w:hint="eastAsia" w:ascii="仿宋_GB2312" w:hAnsi="仿宋_GB2312" w:eastAsia="仿宋_GB2312" w:cs="仿宋_GB2312"/>
                <w:color w:val="auto"/>
                <w:kern w:val="0"/>
                <w:sz w:val="21"/>
                <w:szCs w:val="21"/>
                <w:highlight w:val="none"/>
              </w:rPr>
              <w:t>管理体系</w:t>
            </w:r>
            <w:r>
              <w:rPr>
                <w:rFonts w:hint="eastAsia"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strike w:val="0"/>
                <w:color w:val="auto"/>
                <w:kern w:val="0"/>
                <w:sz w:val="21"/>
                <w:szCs w:val="21"/>
                <w:highlight w:val="none"/>
              </w:rPr>
              <w:t>CCRC 信息系统安全集成服务资质证书，QC080000有害物质管理体系认证证书</w:t>
            </w:r>
            <w:r>
              <w:rPr>
                <w:rFonts w:hint="eastAsia" w:ascii="仿宋_GB2312" w:hAnsi="仿宋_GB2312" w:eastAsia="仿宋_GB2312" w:cs="仿宋_GB2312"/>
                <w:strike w:val="0"/>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rPr>
              <w:t>每通过一项得</w:t>
            </w:r>
            <w:r>
              <w:rPr>
                <w:rFonts w:hint="eastAsia" w:ascii="仿宋_GB2312" w:hAnsi="仿宋_GB2312" w:eastAsia="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分</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最多得8分，未提供不得分</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rPr>
              <w:br w:type="textWrapping"/>
            </w:r>
            <w:r>
              <w:rPr>
                <w:rFonts w:hint="eastAsia" w:ascii="仿宋_GB2312" w:hAnsi="仿宋_GB2312" w:eastAsia="仿宋_GB2312" w:cs="仿宋_GB2312"/>
                <w:color w:val="auto"/>
                <w:kern w:val="0"/>
                <w:sz w:val="21"/>
                <w:szCs w:val="21"/>
                <w:highlight w:val="none"/>
              </w:rPr>
              <w:t>【需提供认证证书复印件并加盖投标人</w:t>
            </w:r>
            <w:r>
              <w:rPr>
                <w:rFonts w:hint="eastAsia" w:ascii="仿宋_GB2312" w:hAnsi="仿宋_GB2312" w:eastAsia="仿宋_GB2312" w:cs="仿宋_GB2312"/>
                <w:color w:val="auto"/>
                <w:kern w:val="0"/>
                <w:sz w:val="21"/>
                <w:szCs w:val="21"/>
                <w:highlight w:val="none"/>
                <w:lang w:val="en-US" w:eastAsia="zh-CN"/>
              </w:rPr>
              <w:t>单位</w:t>
            </w:r>
            <w:r>
              <w:rPr>
                <w:rFonts w:hint="eastAsia" w:ascii="仿宋_GB2312" w:hAnsi="仿宋_GB2312" w:eastAsia="仿宋_GB2312" w:cs="仿宋_GB2312"/>
                <w:color w:val="auto"/>
                <w:kern w:val="0"/>
                <w:sz w:val="21"/>
                <w:szCs w:val="21"/>
                <w:highlight w:val="none"/>
              </w:rPr>
              <w:t>公章，否则不得分】</w:t>
            </w:r>
          </w:p>
        </w:tc>
        <w:tc>
          <w:tcPr>
            <w:tcW w:w="663" w:type="dxa"/>
            <w:tcBorders>
              <w:top w:val="single" w:color="auto" w:sz="8" w:space="0"/>
              <w:left w:val="nil"/>
              <w:bottom w:val="single" w:color="auto" w:sz="4" w:space="0"/>
              <w:right w:val="single" w:color="auto" w:sz="8" w:space="0"/>
            </w:tcBorders>
            <w:shd w:val="clear" w:color="auto" w:fill="auto"/>
            <w:vAlign w:val="center"/>
          </w:tcPr>
          <w:p w14:paraId="377CE1AB">
            <w:pPr>
              <w:keepNext w:val="0"/>
              <w:keepLines w:val="0"/>
              <w:pageBreakBefore w:val="0"/>
              <w:widowControl/>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8</w:t>
            </w:r>
          </w:p>
        </w:tc>
      </w:tr>
      <w:tr w14:paraId="6F537AC3">
        <w:tblPrEx>
          <w:tblCellMar>
            <w:top w:w="0" w:type="dxa"/>
            <w:left w:w="108" w:type="dxa"/>
            <w:bottom w:w="0" w:type="dxa"/>
            <w:right w:w="108" w:type="dxa"/>
          </w:tblCellMar>
        </w:tblPrEx>
        <w:trPr>
          <w:trHeight w:val="1193" w:hRule="atLeast"/>
          <w:jc w:val="center"/>
        </w:trPr>
        <w:tc>
          <w:tcPr>
            <w:tcW w:w="940" w:type="dxa"/>
            <w:vMerge w:val="continue"/>
            <w:tcBorders>
              <w:top w:val="single" w:color="auto" w:sz="8" w:space="0"/>
              <w:left w:val="single" w:color="auto" w:sz="8" w:space="0"/>
              <w:bottom w:val="single" w:color="000000" w:sz="4" w:space="0"/>
              <w:right w:val="single" w:color="auto" w:sz="4" w:space="0"/>
            </w:tcBorders>
            <w:vAlign w:val="center"/>
          </w:tcPr>
          <w:p w14:paraId="06AA032F">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single" w:color="auto" w:sz="8" w:space="0"/>
              <w:left w:val="single" w:color="auto" w:sz="4" w:space="0"/>
              <w:bottom w:val="nil"/>
              <w:right w:val="single" w:color="auto" w:sz="4" w:space="0"/>
            </w:tcBorders>
            <w:vAlign w:val="center"/>
          </w:tcPr>
          <w:p w14:paraId="37D396BE">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5827" w:type="dxa"/>
            <w:tcBorders>
              <w:top w:val="nil"/>
              <w:left w:val="nil"/>
              <w:bottom w:val="single" w:color="auto" w:sz="4" w:space="0"/>
              <w:right w:val="single" w:color="auto" w:sz="4" w:space="0"/>
            </w:tcBorders>
            <w:shd w:val="clear" w:color="auto" w:fill="auto"/>
            <w:vAlign w:val="center"/>
          </w:tcPr>
          <w:p w14:paraId="379410B4">
            <w:pPr>
              <w:pStyle w:val="2"/>
              <w:keepNext w:val="0"/>
              <w:keepLines w:val="0"/>
              <w:suppressLineNumbers w:val="0"/>
              <w:spacing w:before="0" w:beforeAutospacing="0" w:afterAutospacing="0"/>
              <w:ind w:left="0" w:right="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产品认证：所投产品具有《中国国家强制性产品认证证书（CCC</w:t>
            </w:r>
            <w:r>
              <w:rPr>
                <w:rFonts w:hint="default" w:ascii="仿宋_GB2312" w:hAnsi="仿宋_GB2312" w:eastAsia="仿宋_GB2312" w:cs="仿宋_GB2312"/>
                <w:color w:val="auto"/>
                <w:kern w:val="0"/>
                <w:sz w:val="21"/>
                <w:szCs w:val="21"/>
                <w:highlight w:val="none"/>
                <w:lang w:val="en-US"/>
              </w:rPr>
              <w:t>）</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rPr>
              <w:t>中国节能认证》的，每通过一项得</w:t>
            </w:r>
            <w:r>
              <w:rPr>
                <w:rFonts w:hint="eastAsia" w:ascii="仿宋_GB2312" w:hAnsi="仿宋_GB2312" w:eastAsia="仿宋_GB2312" w:cs="仿宋_GB2312"/>
                <w:color w:val="auto"/>
                <w:kern w:val="0"/>
                <w:sz w:val="21"/>
                <w:szCs w:val="21"/>
                <w:highlight w:val="none"/>
                <w:lang w:val="en-US" w:eastAsia="zh-CN"/>
              </w:rPr>
              <w:t>1</w:t>
            </w:r>
            <w:r>
              <w:rPr>
                <w:rFonts w:hint="eastAsia" w:ascii="仿宋_GB2312" w:hAnsi="仿宋_GB2312" w:eastAsia="仿宋_GB2312" w:cs="仿宋_GB2312"/>
                <w:color w:val="auto"/>
                <w:kern w:val="0"/>
                <w:sz w:val="21"/>
                <w:szCs w:val="21"/>
                <w:highlight w:val="none"/>
              </w:rPr>
              <w:t>分，最多得</w:t>
            </w:r>
            <w:r>
              <w:rPr>
                <w:rFonts w:hint="eastAsia" w:ascii="仿宋_GB2312" w:hAnsi="仿宋_GB2312" w:eastAsia="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分</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未提供不得分</w:t>
            </w:r>
            <w:r>
              <w:rPr>
                <w:rFonts w:hint="eastAsia" w:ascii="仿宋_GB2312" w:hAnsi="仿宋_GB2312" w:eastAsia="仿宋_GB2312" w:cs="仿宋_GB2312"/>
                <w:color w:val="auto"/>
                <w:kern w:val="0"/>
                <w:sz w:val="21"/>
                <w:szCs w:val="21"/>
                <w:highlight w:val="none"/>
              </w:rPr>
              <w:t>。（需提供证书</w:t>
            </w:r>
            <w:r>
              <w:rPr>
                <w:rFonts w:hint="default" w:ascii="仿宋_GB2312" w:hAnsi="仿宋_GB2312" w:eastAsia="仿宋_GB2312" w:cs="仿宋_GB2312"/>
                <w:color w:val="auto"/>
                <w:kern w:val="0"/>
                <w:sz w:val="21"/>
                <w:szCs w:val="21"/>
                <w:highlight w:val="none"/>
                <w:lang w:val="en-US"/>
              </w:rPr>
              <w:t>复印件并加盖</w:t>
            </w:r>
            <w:r>
              <w:rPr>
                <w:rFonts w:hint="eastAsia" w:ascii="仿宋_GB2312" w:hAnsi="仿宋_GB2312" w:eastAsia="仿宋_GB2312" w:cs="仿宋_GB2312"/>
                <w:color w:val="auto"/>
                <w:kern w:val="0"/>
                <w:sz w:val="21"/>
                <w:szCs w:val="21"/>
                <w:highlight w:val="none"/>
              </w:rPr>
              <w:t>投标人</w:t>
            </w:r>
            <w:r>
              <w:rPr>
                <w:rFonts w:hint="eastAsia" w:ascii="仿宋_GB2312" w:hAnsi="仿宋_GB2312" w:eastAsia="仿宋_GB2312" w:cs="仿宋_GB2312"/>
                <w:color w:val="auto"/>
                <w:kern w:val="0"/>
                <w:sz w:val="21"/>
                <w:szCs w:val="21"/>
                <w:highlight w:val="none"/>
                <w:lang w:val="en-US" w:eastAsia="zh-CN"/>
              </w:rPr>
              <w:t>单位</w:t>
            </w:r>
            <w:r>
              <w:rPr>
                <w:rFonts w:hint="eastAsia" w:ascii="仿宋_GB2312" w:hAnsi="仿宋_GB2312" w:eastAsia="仿宋_GB2312" w:cs="仿宋_GB2312"/>
                <w:color w:val="auto"/>
                <w:kern w:val="0"/>
                <w:sz w:val="21"/>
                <w:szCs w:val="21"/>
                <w:highlight w:val="none"/>
              </w:rPr>
              <w:t>公章）</w:t>
            </w:r>
          </w:p>
        </w:tc>
        <w:tc>
          <w:tcPr>
            <w:tcW w:w="663" w:type="dxa"/>
            <w:tcBorders>
              <w:top w:val="nil"/>
              <w:left w:val="nil"/>
              <w:bottom w:val="single" w:color="auto" w:sz="4" w:space="0"/>
              <w:right w:val="single" w:color="auto" w:sz="8" w:space="0"/>
            </w:tcBorders>
            <w:shd w:val="clear" w:color="auto" w:fill="auto"/>
            <w:vAlign w:val="center"/>
          </w:tcPr>
          <w:p w14:paraId="5C407E81">
            <w:pPr>
              <w:keepNext w:val="0"/>
              <w:keepLines w:val="0"/>
              <w:pageBreakBefore w:val="0"/>
              <w:widowControl/>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w:t>
            </w:r>
          </w:p>
        </w:tc>
      </w:tr>
      <w:tr w14:paraId="650E0CF3">
        <w:tblPrEx>
          <w:tblCellMar>
            <w:top w:w="0" w:type="dxa"/>
            <w:left w:w="108" w:type="dxa"/>
            <w:bottom w:w="0" w:type="dxa"/>
            <w:right w:w="108" w:type="dxa"/>
          </w:tblCellMar>
        </w:tblPrEx>
        <w:trPr>
          <w:trHeight w:val="2764" w:hRule="atLeast"/>
          <w:jc w:val="center"/>
        </w:trPr>
        <w:tc>
          <w:tcPr>
            <w:tcW w:w="940" w:type="dxa"/>
            <w:vMerge w:val="continue"/>
            <w:tcBorders>
              <w:top w:val="single" w:color="auto" w:sz="8" w:space="0"/>
              <w:left w:val="single" w:color="auto" w:sz="8" w:space="0"/>
              <w:bottom w:val="single" w:color="000000" w:sz="4" w:space="0"/>
              <w:right w:val="single" w:color="auto" w:sz="4" w:space="0"/>
            </w:tcBorders>
            <w:vAlign w:val="center"/>
          </w:tcPr>
          <w:p w14:paraId="16368409">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single" w:color="auto" w:sz="8" w:space="0"/>
              <w:left w:val="single" w:color="auto" w:sz="4" w:space="0"/>
              <w:bottom w:val="nil"/>
              <w:right w:val="single" w:color="auto" w:sz="4" w:space="0"/>
            </w:tcBorders>
            <w:vAlign w:val="center"/>
          </w:tcPr>
          <w:p w14:paraId="71529E9E">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5827" w:type="dxa"/>
            <w:tcBorders>
              <w:top w:val="nil"/>
              <w:left w:val="nil"/>
              <w:bottom w:val="single" w:color="auto" w:sz="4" w:space="0"/>
              <w:right w:val="single" w:color="auto" w:sz="4" w:space="0"/>
            </w:tcBorders>
            <w:shd w:val="clear" w:color="auto" w:fill="auto"/>
            <w:vAlign w:val="center"/>
          </w:tcPr>
          <w:p w14:paraId="2222D4E4">
            <w:pPr>
              <w:keepNext w:val="0"/>
              <w:keepLines w:val="0"/>
              <w:pageBreakBefore w:val="0"/>
              <w:widowControl/>
              <w:suppressLineNumbers w:val="0"/>
              <w:overflowPunct/>
              <w:bidi w:val="0"/>
              <w:spacing w:before="0" w:beforeAutospacing="0" w:after="0" w:afterAutospacing="0" w:line="360" w:lineRule="auto"/>
              <w:ind w:left="0" w:right="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投标人具有所投品牌制造商代理商证书或经销商证书的得2分，未提供不得分；</w:t>
            </w:r>
          </w:p>
          <w:p w14:paraId="5C710E70">
            <w:pPr>
              <w:keepNext w:val="0"/>
              <w:keepLines w:val="0"/>
              <w:pageBreakBefore w:val="0"/>
              <w:widowControl/>
              <w:suppressLineNumbers w:val="0"/>
              <w:overflowPunct/>
              <w:bidi w:val="0"/>
              <w:spacing w:before="0" w:beforeAutospacing="0" w:after="0" w:afterAutospacing="0" w:line="360" w:lineRule="auto"/>
              <w:ind w:left="0" w:right="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投标人具有经销商具备质量管理体系认证证书ISO9001的得2分，未提供不得分。</w:t>
            </w:r>
          </w:p>
          <w:p w14:paraId="18E028E6">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未提供不得分。</w:t>
            </w:r>
          </w:p>
          <w:p w14:paraId="280C6D86">
            <w:pPr>
              <w:pStyle w:val="2"/>
              <w:keepNext w:val="0"/>
              <w:keepLines w:val="0"/>
              <w:suppressLineNumbers w:val="0"/>
              <w:spacing w:before="0" w:beforeAutospacing="0" w:afterAutospacing="0"/>
              <w:ind w:left="0" w:right="0"/>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kern w:val="0"/>
                <w:sz w:val="21"/>
                <w:szCs w:val="21"/>
                <w:highlight w:val="none"/>
              </w:rPr>
              <w:t>【需提供认证证书复印件并加盖投标人</w:t>
            </w:r>
            <w:r>
              <w:rPr>
                <w:rFonts w:hint="eastAsia" w:ascii="仿宋_GB2312" w:hAnsi="仿宋_GB2312" w:eastAsia="仿宋_GB2312" w:cs="仿宋_GB2312"/>
                <w:color w:val="auto"/>
                <w:kern w:val="0"/>
                <w:sz w:val="21"/>
                <w:szCs w:val="21"/>
                <w:highlight w:val="none"/>
                <w:lang w:val="en-US" w:eastAsia="zh-CN"/>
              </w:rPr>
              <w:t>单位</w:t>
            </w:r>
            <w:r>
              <w:rPr>
                <w:rFonts w:hint="eastAsia" w:ascii="仿宋_GB2312" w:hAnsi="仿宋_GB2312" w:eastAsia="仿宋_GB2312" w:cs="仿宋_GB2312"/>
                <w:color w:val="auto"/>
                <w:kern w:val="0"/>
                <w:sz w:val="21"/>
                <w:szCs w:val="21"/>
                <w:highlight w:val="none"/>
              </w:rPr>
              <w:t>公章，否则不得分】</w:t>
            </w:r>
          </w:p>
        </w:tc>
        <w:tc>
          <w:tcPr>
            <w:tcW w:w="663" w:type="dxa"/>
            <w:tcBorders>
              <w:top w:val="nil"/>
              <w:left w:val="nil"/>
              <w:bottom w:val="single" w:color="auto" w:sz="4" w:space="0"/>
              <w:right w:val="single" w:color="auto" w:sz="8" w:space="0"/>
            </w:tcBorders>
            <w:shd w:val="clear" w:color="auto" w:fill="auto"/>
            <w:vAlign w:val="center"/>
          </w:tcPr>
          <w:p w14:paraId="7152AA9C">
            <w:pPr>
              <w:keepNext w:val="0"/>
              <w:keepLines w:val="0"/>
              <w:pageBreakBefore w:val="0"/>
              <w:widowControl/>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4</w:t>
            </w:r>
          </w:p>
        </w:tc>
      </w:tr>
      <w:tr w14:paraId="45B8B686">
        <w:tblPrEx>
          <w:tblCellMar>
            <w:top w:w="0" w:type="dxa"/>
            <w:left w:w="108" w:type="dxa"/>
            <w:bottom w:w="0" w:type="dxa"/>
            <w:right w:w="108" w:type="dxa"/>
          </w:tblCellMar>
        </w:tblPrEx>
        <w:trPr>
          <w:trHeight w:val="1680" w:hRule="atLeast"/>
          <w:jc w:val="center"/>
        </w:trPr>
        <w:tc>
          <w:tcPr>
            <w:tcW w:w="940" w:type="dxa"/>
            <w:vMerge w:val="continue"/>
            <w:tcBorders>
              <w:top w:val="single" w:color="auto" w:sz="8" w:space="0"/>
              <w:left w:val="single" w:color="auto" w:sz="8" w:space="0"/>
              <w:bottom w:val="single" w:color="000000" w:sz="4" w:space="0"/>
              <w:right w:val="single" w:color="auto" w:sz="4" w:space="0"/>
            </w:tcBorders>
            <w:vAlign w:val="center"/>
          </w:tcPr>
          <w:p w14:paraId="1131069A">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single" w:color="auto" w:sz="8" w:space="0"/>
              <w:left w:val="single" w:color="auto" w:sz="4" w:space="0"/>
              <w:bottom w:val="nil"/>
              <w:right w:val="single" w:color="auto" w:sz="4" w:space="0"/>
            </w:tcBorders>
            <w:vAlign w:val="center"/>
          </w:tcPr>
          <w:p w14:paraId="053C76DB">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5827" w:type="dxa"/>
            <w:tcBorders>
              <w:top w:val="nil"/>
              <w:left w:val="nil"/>
              <w:bottom w:val="single" w:color="auto" w:sz="4" w:space="0"/>
              <w:right w:val="single" w:color="auto" w:sz="4" w:space="0"/>
            </w:tcBorders>
            <w:shd w:val="clear" w:color="auto" w:fill="auto"/>
            <w:vAlign w:val="center"/>
          </w:tcPr>
          <w:p w14:paraId="5A391AC8">
            <w:pPr>
              <w:pStyle w:val="13"/>
              <w:keepNext w:val="0"/>
              <w:keepLines w:val="0"/>
              <w:pageBreakBefore w:val="0"/>
              <w:widowControl/>
              <w:suppressLineNumbers w:val="0"/>
              <w:overflowPunct/>
              <w:bidi w:val="0"/>
              <w:spacing w:before="0" w:beforeAutospacing="0" w:after="0" w:afterAutospacing="0"/>
              <w:ind w:left="0" w:right="0"/>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近三年</w:t>
            </w:r>
            <w:r>
              <w:rPr>
                <w:rFonts w:hint="eastAsia" w:ascii="仿宋_GB2312" w:hAnsi="仿宋_GB2312" w:eastAsia="仿宋_GB2312" w:cs="仿宋_GB2312"/>
                <w:color w:val="auto"/>
                <w:kern w:val="0"/>
                <w:sz w:val="21"/>
                <w:szCs w:val="21"/>
                <w:highlight w:val="none"/>
                <w:lang w:val="en-US" w:eastAsia="zh-CN"/>
              </w:rPr>
              <w:t>业绩案例</w:t>
            </w:r>
            <w:r>
              <w:rPr>
                <w:rFonts w:hint="eastAsia" w:ascii="仿宋_GB2312" w:hAnsi="仿宋_GB2312" w:eastAsia="仿宋_GB2312" w:cs="仿宋_GB2312"/>
                <w:color w:val="auto"/>
                <w:kern w:val="0"/>
                <w:sz w:val="21"/>
                <w:szCs w:val="21"/>
                <w:highlight w:val="none"/>
              </w:rPr>
              <w:t>（以投标截止时间前36个月为有效，有效时间以合同签订时间为准），所投标电脑</w:t>
            </w:r>
            <w:r>
              <w:rPr>
                <w:rFonts w:hint="eastAsia" w:ascii="仿宋_GB2312" w:hAnsi="仿宋_GB2312" w:eastAsia="仿宋_GB2312" w:cs="仿宋_GB2312"/>
                <w:color w:val="auto"/>
                <w:kern w:val="0"/>
                <w:sz w:val="21"/>
                <w:szCs w:val="21"/>
                <w:highlight w:val="none"/>
                <w:lang w:val="en-US" w:eastAsia="zh-CN"/>
              </w:rPr>
              <w:t>整套</w:t>
            </w:r>
            <w:r>
              <w:rPr>
                <w:rFonts w:hint="eastAsia" w:ascii="仿宋_GB2312" w:hAnsi="仿宋_GB2312" w:eastAsia="仿宋_GB2312" w:cs="仿宋_GB2312"/>
                <w:color w:val="auto"/>
                <w:kern w:val="0"/>
                <w:sz w:val="21"/>
                <w:szCs w:val="21"/>
                <w:highlight w:val="none"/>
              </w:rPr>
              <w:t>产品</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含主机、显示器、鼠标键盘</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rPr>
              <w:t>合同金额</w:t>
            </w:r>
            <w:r>
              <w:rPr>
                <w:rFonts w:hint="eastAsia" w:ascii="仿宋_GB2312" w:hAnsi="仿宋_GB2312" w:eastAsia="仿宋_GB2312" w:cs="仿宋_GB2312"/>
                <w:color w:val="auto"/>
                <w:kern w:val="0"/>
                <w:sz w:val="21"/>
                <w:szCs w:val="21"/>
                <w:highlight w:val="none"/>
                <w:lang w:val="en-US" w:eastAsia="zh-CN"/>
              </w:rPr>
              <w:t>≥30</w:t>
            </w:r>
            <w:r>
              <w:rPr>
                <w:rFonts w:hint="eastAsia" w:ascii="仿宋_GB2312" w:hAnsi="仿宋_GB2312" w:eastAsia="仿宋_GB2312" w:cs="仿宋_GB2312"/>
                <w:color w:val="auto"/>
                <w:kern w:val="0"/>
                <w:sz w:val="21"/>
                <w:szCs w:val="21"/>
                <w:highlight w:val="none"/>
                <w:lang w:eastAsia="zh-CN"/>
              </w:rPr>
              <w:t>万元</w:t>
            </w:r>
            <w:r>
              <w:rPr>
                <w:rFonts w:hint="eastAsia" w:ascii="仿宋_GB2312" w:hAnsi="仿宋_GB2312" w:eastAsia="仿宋_GB2312" w:cs="仿宋_GB2312"/>
                <w:color w:val="auto"/>
                <w:kern w:val="0"/>
                <w:sz w:val="21"/>
                <w:szCs w:val="21"/>
                <w:highlight w:val="none"/>
              </w:rPr>
              <w:t>的</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rPr>
              <w:t>每个合同案例</w:t>
            </w:r>
            <w:r>
              <w:rPr>
                <w:rFonts w:hint="eastAsia" w:ascii="仿宋_GB2312" w:hAnsi="仿宋_GB2312" w:eastAsia="仿宋_GB2312" w:cs="仿宋_GB2312"/>
                <w:color w:val="auto"/>
                <w:kern w:val="0"/>
                <w:sz w:val="21"/>
                <w:szCs w:val="21"/>
                <w:highlight w:val="none"/>
                <w:lang w:val="en-US" w:eastAsia="zh-CN"/>
              </w:rPr>
              <w:t>得</w:t>
            </w:r>
            <w:r>
              <w:rPr>
                <w:rFonts w:hint="eastAsia" w:ascii="仿宋_GB2312" w:hAnsi="仿宋_GB2312" w:eastAsia="仿宋_GB2312" w:cs="仿宋_GB2312"/>
                <w:color w:val="auto"/>
                <w:kern w:val="0"/>
                <w:sz w:val="21"/>
                <w:szCs w:val="21"/>
                <w:highlight w:val="none"/>
              </w:rPr>
              <w:t>2分，10万</w:t>
            </w:r>
            <w:r>
              <w:rPr>
                <w:rFonts w:hint="eastAsia" w:ascii="仿宋_GB2312" w:hAnsi="仿宋_GB2312" w:eastAsia="仿宋_GB2312" w:cs="仿宋_GB2312"/>
                <w:color w:val="auto"/>
                <w:kern w:val="0"/>
                <w:sz w:val="21"/>
                <w:szCs w:val="21"/>
                <w:highlight w:val="none"/>
                <w:lang w:val="en-US" w:eastAsia="zh-CN"/>
              </w:rPr>
              <w:t>元</w:t>
            </w:r>
            <w:r>
              <w:rPr>
                <w:rFonts w:hint="eastAsia" w:ascii="仿宋_GB2312" w:hAnsi="仿宋_GB2312" w:eastAsia="仿宋_GB2312" w:cs="仿宋_GB2312"/>
                <w:color w:val="auto"/>
                <w:kern w:val="0"/>
                <w:sz w:val="21"/>
                <w:szCs w:val="21"/>
                <w:highlight w:val="none"/>
              </w:rPr>
              <w:t>≤所投标电脑整套产品合同金额＜30万</w:t>
            </w:r>
            <w:r>
              <w:rPr>
                <w:rFonts w:hint="eastAsia" w:ascii="仿宋_GB2312" w:hAnsi="仿宋_GB2312" w:eastAsia="仿宋_GB2312" w:cs="仿宋_GB2312"/>
                <w:color w:val="auto"/>
                <w:kern w:val="0"/>
                <w:sz w:val="21"/>
                <w:szCs w:val="21"/>
                <w:highlight w:val="none"/>
                <w:lang w:val="en-US" w:eastAsia="zh-CN"/>
              </w:rPr>
              <w:t>元</w:t>
            </w:r>
            <w:r>
              <w:rPr>
                <w:rFonts w:hint="eastAsia" w:ascii="仿宋_GB2312" w:hAnsi="仿宋_GB2312" w:eastAsia="仿宋_GB2312" w:cs="仿宋_GB2312"/>
                <w:color w:val="auto"/>
                <w:kern w:val="0"/>
                <w:sz w:val="21"/>
                <w:szCs w:val="21"/>
                <w:highlight w:val="none"/>
              </w:rPr>
              <w:t>的</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rPr>
              <w:t>每个合同案例</w:t>
            </w:r>
            <w:r>
              <w:rPr>
                <w:rFonts w:hint="eastAsia" w:ascii="仿宋_GB2312" w:hAnsi="仿宋_GB2312" w:eastAsia="仿宋_GB2312" w:cs="仿宋_GB2312"/>
                <w:color w:val="auto"/>
                <w:kern w:val="0"/>
                <w:sz w:val="21"/>
                <w:szCs w:val="21"/>
                <w:highlight w:val="none"/>
                <w:lang w:val="en-US" w:eastAsia="zh-CN"/>
              </w:rPr>
              <w:t>得</w:t>
            </w:r>
            <w:r>
              <w:rPr>
                <w:rFonts w:hint="eastAsia" w:ascii="仿宋_GB2312" w:hAnsi="仿宋_GB2312" w:eastAsia="仿宋_GB2312" w:cs="仿宋_GB2312"/>
                <w:color w:val="auto"/>
                <w:kern w:val="0"/>
                <w:sz w:val="21"/>
                <w:szCs w:val="21"/>
                <w:highlight w:val="none"/>
              </w:rPr>
              <w:t>1分</w:t>
            </w:r>
            <w:r>
              <w:rPr>
                <w:rFonts w:hint="eastAsia" w:ascii="仿宋_GB2312" w:hAnsi="仿宋_GB2312" w:eastAsia="仿宋_GB2312" w:cs="仿宋_GB2312"/>
                <w:color w:val="auto"/>
                <w:kern w:val="0"/>
                <w:sz w:val="21"/>
                <w:szCs w:val="21"/>
                <w:highlight w:val="none"/>
                <w:lang w:eastAsia="zh-CN"/>
              </w:rPr>
              <w:t>，所投标电脑</w:t>
            </w:r>
            <w:r>
              <w:rPr>
                <w:rFonts w:hint="eastAsia" w:ascii="仿宋_GB2312" w:hAnsi="仿宋_GB2312" w:eastAsia="仿宋_GB2312" w:cs="仿宋_GB2312"/>
                <w:color w:val="auto"/>
                <w:kern w:val="0"/>
                <w:sz w:val="21"/>
                <w:szCs w:val="21"/>
                <w:highlight w:val="none"/>
                <w:lang w:val="en-US" w:eastAsia="zh-CN"/>
              </w:rPr>
              <w:t>整套</w:t>
            </w:r>
            <w:r>
              <w:rPr>
                <w:rFonts w:hint="eastAsia" w:ascii="仿宋_GB2312" w:hAnsi="仿宋_GB2312" w:eastAsia="仿宋_GB2312" w:cs="仿宋_GB2312"/>
                <w:color w:val="auto"/>
                <w:kern w:val="0"/>
                <w:sz w:val="21"/>
                <w:szCs w:val="21"/>
                <w:highlight w:val="none"/>
                <w:lang w:eastAsia="zh-CN"/>
              </w:rPr>
              <w:t>产品合同金额</w:t>
            </w:r>
            <w:r>
              <w:rPr>
                <w:rFonts w:hint="eastAsia" w:ascii="仿宋_GB2312" w:hAnsi="仿宋_GB2312" w:eastAsia="仿宋_GB2312" w:cs="仿宋_GB2312"/>
                <w:color w:val="auto"/>
                <w:kern w:val="0"/>
                <w:sz w:val="21"/>
                <w:szCs w:val="21"/>
                <w:highlight w:val="none"/>
                <w:lang w:val="en-US" w:eastAsia="zh-CN"/>
              </w:rPr>
              <w:t>＜10万元的、不得分</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val="en-US" w:eastAsia="zh-CN"/>
              </w:rPr>
              <w:t>未提供案例的不得分。</w:t>
            </w:r>
            <w:r>
              <w:rPr>
                <w:rFonts w:hint="eastAsia" w:ascii="仿宋_GB2312" w:hAnsi="仿宋_GB2312" w:eastAsia="仿宋_GB2312" w:cs="仿宋_GB2312"/>
                <w:color w:val="auto"/>
                <w:kern w:val="0"/>
                <w:sz w:val="21"/>
                <w:szCs w:val="21"/>
                <w:highlight w:val="none"/>
              </w:rPr>
              <w:t>（同一法人单位的案例只计算一次）</w:t>
            </w:r>
            <w:r>
              <w:rPr>
                <w:rFonts w:hint="eastAsia" w:ascii="仿宋_GB2312" w:hAnsi="仿宋_GB2312" w:eastAsia="仿宋_GB2312" w:cs="仿宋_GB2312"/>
                <w:color w:val="auto"/>
                <w:kern w:val="0"/>
                <w:sz w:val="21"/>
                <w:szCs w:val="21"/>
                <w:highlight w:val="none"/>
              </w:rPr>
              <w:br w:type="textWrapping"/>
            </w:r>
            <w:r>
              <w:rPr>
                <w:rFonts w:hint="eastAsia" w:ascii="仿宋_GB2312" w:hAnsi="仿宋_GB2312" w:eastAsia="仿宋_GB2312" w:cs="仿宋_GB2312"/>
                <w:color w:val="auto"/>
                <w:kern w:val="0"/>
                <w:sz w:val="21"/>
                <w:szCs w:val="21"/>
                <w:highlight w:val="none"/>
              </w:rPr>
              <w:t>【需提供合同复印件等有效证明材料</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并加盖投标人单位公章</w:t>
            </w:r>
            <w:r>
              <w:rPr>
                <w:rFonts w:hint="eastAsia" w:ascii="仿宋_GB2312" w:hAnsi="仿宋_GB2312" w:eastAsia="仿宋_GB2312" w:cs="仿宋_GB2312"/>
                <w:color w:val="auto"/>
                <w:kern w:val="0"/>
                <w:sz w:val="21"/>
                <w:szCs w:val="21"/>
                <w:highlight w:val="none"/>
              </w:rPr>
              <w:t>，包括但不限于合同首页、金额页、签署页</w:t>
            </w:r>
            <w:r>
              <w:rPr>
                <w:rFonts w:hint="eastAsia" w:ascii="仿宋_GB2312" w:hAnsi="仿宋_GB2312" w:eastAsia="仿宋_GB2312" w:cs="仿宋_GB2312"/>
                <w:color w:val="auto"/>
                <w:kern w:val="0"/>
                <w:sz w:val="21"/>
                <w:szCs w:val="21"/>
                <w:highlight w:val="none"/>
                <w:lang w:val="en-US" w:eastAsia="zh-CN"/>
              </w:rPr>
              <w:t>等</w:t>
            </w:r>
            <w:r>
              <w:rPr>
                <w:rFonts w:hint="eastAsia" w:ascii="仿宋_GB2312" w:hAnsi="仿宋_GB2312" w:eastAsia="仿宋_GB2312" w:cs="仿宋_GB2312"/>
                <w:color w:val="auto"/>
                <w:kern w:val="0"/>
                <w:sz w:val="21"/>
                <w:szCs w:val="21"/>
                <w:highlight w:val="none"/>
              </w:rPr>
              <w:t>，无法提供相应证明材料的案例不作为投标人的有效案例。原件备查】</w:t>
            </w:r>
          </w:p>
        </w:tc>
        <w:tc>
          <w:tcPr>
            <w:tcW w:w="663" w:type="dxa"/>
            <w:tcBorders>
              <w:top w:val="nil"/>
              <w:left w:val="nil"/>
              <w:bottom w:val="single" w:color="auto" w:sz="4" w:space="0"/>
              <w:right w:val="single" w:color="auto" w:sz="8" w:space="0"/>
            </w:tcBorders>
            <w:shd w:val="clear" w:color="auto" w:fill="auto"/>
            <w:vAlign w:val="center"/>
          </w:tcPr>
          <w:p w14:paraId="2AE86CD6">
            <w:pPr>
              <w:keepNext w:val="0"/>
              <w:keepLines w:val="0"/>
              <w:pageBreakBefore w:val="0"/>
              <w:widowControl/>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12</w:t>
            </w:r>
          </w:p>
        </w:tc>
      </w:tr>
      <w:tr w14:paraId="71DEFB42">
        <w:tblPrEx>
          <w:tblCellMar>
            <w:top w:w="0" w:type="dxa"/>
            <w:left w:w="108" w:type="dxa"/>
            <w:bottom w:w="0" w:type="dxa"/>
            <w:right w:w="108" w:type="dxa"/>
          </w:tblCellMar>
        </w:tblPrEx>
        <w:trPr>
          <w:trHeight w:val="1987" w:hRule="atLeast"/>
          <w:jc w:val="center"/>
        </w:trPr>
        <w:tc>
          <w:tcPr>
            <w:tcW w:w="940" w:type="dxa"/>
            <w:vMerge w:val="continue"/>
            <w:tcBorders>
              <w:top w:val="single" w:color="auto" w:sz="8" w:space="0"/>
              <w:left w:val="single" w:color="auto" w:sz="8" w:space="0"/>
              <w:bottom w:val="single" w:color="000000" w:sz="4" w:space="0"/>
              <w:right w:val="single" w:color="auto" w:sz="4" w:space="0"/>
            </w:tcBorders>
            <w:vAlign w:val="center"/>
          </w:tcPr>
          <w:p w14:paraId="2192ACC7">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single" w:color="auto" w:sz="8" w:space="0"/>
              <w:left w:val="single" w:color="auto" w:sz="4" w:space="0"/>
              <w:bottom w:val="nil"/>
              <w:right w:val="single" w:color="auto" w:sz="4" w:space="0"/>
            </w:tcBorders>
            <w:vAlign w:val="center"/>
          </w:tcPr>
          <w:p w14:paraId="0DBA7188">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5827" w:type="dxa"/>
            <w:tcBorders>
              <w:top w:val="nil"/>
              <w:left w:val="nil"/>
              <w:bottom w:val="nil"/>
              <w:right w:val="single" w:color="auto" w:sz="4" w:space="0"/>
            </w:tcBorders>
            <w:shd w:val="clear" w:color="auto" w:fill="auto"/>
            <w:vAlign w:val="center"/>
          </w:tcPr>
          <w:p w14:paraId="171FF3E0">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所投计算机品牌所占中国市场（全年）份额（数据以IDC出具的</w:t>
            </w:r>
            <w:r>
              <w:rPr>
                <w:rFonts w:hint="eastAsia" w:ascii="仿宋_GB2312" w:hAnsi="仿宋_GB2312" w:eastAsia="仿宋_GB2312" w:cs="仿宋_GB2312"/>
                <w:color w:val="auto"/>
                <w:kern w:val="0"/>
                <w:sz w:val="21"/>
                <w:szCs w:val="21"/>
                <w:highlight w:val="none"/>
                <w:lang w:val="en-US" w:eastAsia="zh-CN"/>
              </w:rPr>
              <w:t>近三年任意一年</w:t>
            </w:r>
            <w:r>
              <w:rPr>
                <w:rFonts w:hint="eastAsia" w:ascii="仿宋_GB2312" w:hAnsi="仿宋_GB2312" w:eastAsia="仿宋_GB2312" w:cs="仿宋_GB2312"/>
                <w:color w:val="auto"/>
                <w:kern w:val="0"/>
                <w:sz w:val="21"/>
                <w:szCs w:val="21"/>
                <w:highlight w:val="none"/>
              </w:rPr>
              <w:t>中国市场商用台式机（PC</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rPr>
              <w:t>销量和份额证明文件为准）</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rPr>
              <w:t>市场份额</w:t>
            </w:r>
            <w:r>
              <w:rPr>
                <w:rFonts w:hint="eastAsia" w:ascii="仿宋_GB2312" w:hAnsi="仿宋_GB2312" w:eastAsia="仿宋_GB2312" w:cs="仿宋_GB2312"/>
                <w:color w:val="auto"/>
                <w:kern w:val="0"/>
                <w:sz w:val="21"/>
                <w:szCs w:val="21"/>
                <w:highlight w:val="none"/>
                <w:lang w:val="en-US"/>
              </w:rPr>
              <w:t>排名第</w:t>
            </w:r>
            <w:r>
              <w:rPr>
                <w:rFonts w:hint="eastAsia" w:ascii="仿宋_GB2312" w:hAnsi="仿宋_GB2312" w:eastAsia="仿宋_GB2312" w:cs="仿宋_GB2312"/>
                <w:color w:val="auto"/>
                <w:kern w:val="0"/>
                <w:sz w:val="21"/>
                <w:szCs w:val="21"/>
                <w:highlight w:val="none"/>
                <w:lang w:val="en-US" w:eastAsia="zh-CN"/>
              </w:rPr>
              <w:t>1-3</w:t>
            </w:r>
            <w:r>
              <w:rPr>
                <w:rFonts w:hint="eastAsia" w:ascii="仿宋_GB2312" w:hAnsi="仿宋_GB2312" w:eastAsia="仿宋_GB2312" w:cs="仿宋_GB2312"/>
                <w:color w:val="auto"/>
                <w:kern w:val="0"/>
                <w:sz w:val="21"/>
                <w:szCs w:val="21"/>
                <w:highlight w:val="none"/>
              </w:rPr>
              <w:t>得</w:t>
            </w:r>
            <w:r>
              <w:rPr>
                <w:rFonts w:hint="eastAsia" w:ascii="仿宋_GB2312" w:hAnsi="仿宋_GB2312" w:eastAsia="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分</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rPr>
              <w:t>排名第</w:t>
            </w:r>
            <w:r>
              <w:rPr>
                <w:rFonts w:hint="eastAsia" w:ascii="仿宋_GB2312" w:hAnsi="仿宋_GB2312" w:eastAsia="仿宋_GB2312" w:cs="仿宋_GB2312"/>
                <w:color w:val="auto"/>
                <w:kern w:val="0"/>
                <w:sz w:val="21"/>
                <w:szCs w:val="21"/>
                <w:highlight w:val="none"/>
                <w:lang w:val="en-US" w:eastAsia="zh-CN"/>
              </w:rPr>
              <w:t>4-6</w:t>
            </w:r>
            <w:r>
              <w:rPr>
                <w:rFonts w:hint="eastAsia" w:ascii="仿宋_GB2312" w:hAnsi="仿宋_GB2312" w:eastAsia="仿宋_GB2312" w:cs="仿宋_GB2312"/>
                <w:color w:val="auto"/>
                <w:kern w:val="0"/>
                <w:sz w:val="21"/>
                <w:szCs w:val="21"/>
                <w:highlight w:val="none"/>
              </w:rPr>
              <w:t>得</w:t>
            </w:r>
            <w:r>
              <w:rPr>
                <w:rFonts w:hint="eastAsia" w:ascii="仿宋_GB2312" w:hAnsi="仿宋_GB2312" w:eastAsia="仿宋_GB2312" w:cs="仿宋_GB2312"/>
                <w:color w:val="auto"/>
                <w:kern w:val="0"/>
                <w:sz w:val="21"/>
                <w:szCs w:val="21"/>
                <w:highlight w:val="none"/>
                <w:lang w:val="en-US" w:eastAsia="zh-CN"/>
              </w:rPr>
              <w:t>1</w:t>
            </w:r>
            <w:r>
              <w:rPr>
                <w:rFonts w:hint="eastAsia" w:ascii="仿宋_GB2312" w:hAnsi="仿宋_GB2312" w:eastAsia="仿宋_GB2312" w:cs="仿宋_GB2312"/>
                <w:color w:val="auto"/>
                <w:kern w:val="0"/>
                <w:sz w:val="21"/>
                <w:szCs w:val="21"/>
                <w:highlight w:val="none"/>
              </w:rPr>
              <w:t>分</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其余不得</w:t>
            </w:r>
            <w:r>
              <w:rPr>
                <w:rFonts w:hint="eastAsia" w:ascii="仿宋_GB2312" w:hAnsi="仿宋_GB2312" w:eastAsia="仿宋_GB2312" w:cs="仿宋_GB2312"/>
                <w:color w:val="auto"/>
                <w:kern w:val="0"/>
                <w:sz w:val="21"/>
                <w:szCs w:val="21"/>
                <w:highlight w:val="none"/>
              </w:rPr>
              <w:t>分。【需提供IDC数据引用授权书复印件并加盖投标人</w:t>
            </w:r>
            <w:r>
              <w:rPr>
                <w:rFonts w:hint="eastAsia" w:ascii="仿宋_GB2312" w:hAnsi="仿宋_GB2312" w:eastAsia="仿宋_GB2312" w:cs="仿宋_GB2312"/>
                <w:color w:val="auto"/>
                <w:kern w:val="0"/>
                <w:sz w:val="21"/>
                <w:szCs w:val="21"/>
                <w:highlight w:val="none"/>
                <w:lang w:val="en-US" w:eastAsia="zh-CN"/>
              </w:rPr>
              <w:t>单位</w:t>
            </w:r>
            <w:r>
              <w:rPr>
                <w:rFonts w:hint="eastAsia" w:ascii="仿宋_GB2312" w:hAnsi="仿宋_GB2312" w:eastAsia="仿宋_GB2312" w:cs="仿宋_GB2312"/>
                <w:color w:val="auto"/>
                <w:kern w:val="0"/>
                <w:sz w:val="21"/>
                <w:szCs w:val="21"/>
                <w:highlight w:val="none"/>
              </w:rPr>
              <w:t>公章，否则不得分】</w:t>
            </w:r>
          </w:p>
        </w:tc>
        <w:tc>
          <w:tcPr>
            <w:tcW w:w="663" w:type="dxa"/>
            <w:tcBorders>
              <w:top w:val="nil"/>
              <w:left w:val="nil"/>
              <w:bottom w:val="single" w:color="auto" w:sz="4" w:space="0"/>
              <w:right w:val="single" w:color="auto" w:sz="8" w:space="0"/>
            </w:tcBorders>
            <w:shd w:val="clear" w:color="auto" w:fill="auto"/>
            <w:vAlign w:val="center"/>
          </w:tcPr>
          <w:p w14:paraId="3A30D979">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w:t>
            </w:r>
          </w:p>
        </w:tc>
      </w:tr>
      <w:tr w14:paraId="037B8D6D">
        <w:tblPrEx>
          <w:tblCellMar>
            <w:top w:w="0" w:type="dxa"/>
            <w:left w:w="108" w:type="dxa"/>
            <w:bottom w:w="0" w:type="dxa"/>
            <w:right w:w="108" w:type="dxa"/>
          </w:tblCellMar>
        </w:tblPrEx>
        <w:trPr>
          <w:trHeight w:val="840" w:hRule="atLeast"/>
          <w:jc w:val="center"/>
        </w:trPr>
        <w:tc>
          <w:tcPr>
            <w:tcW w:w="940" w:type="dxa"/>
            <w:vMerge w:val="restart"/>
            <w:tcBorders>
              <w:top w:val="nil"/>
              <w:left w:val="single" w:color="auto" w:sz="8" w:space="0"/>
              <w:bottom w:val="single" w:color="auto" w:sz="4" w:space="0"/>
              <w:right w:val="single" w:color="auto" w:sz="4" w:space="0"/>
            </w:tcBorders>
            <w:shd w:val="clear" w:color="auto" w:fill="auto"/>
            <w:vAlign w:val="center"/>
          </w:tcPr>
          <w:p w14:paraId="1EA25880">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 xml:space="preserve">技术标部分    </w:t>
            </w:r>
          </w:p>
        </w:tc>
        <w:tc>
          <w:tcPr>
            <w:tcW w:w="109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3F444DCD">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产品技术参数</w:t>
            </w:r>
          </w:p>
        </w:tc>
        <w:tc>
          <w:tcPr>
            <w:tcW w:w="582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4598611F">
            <w:pPr>
              <w:keepNext w:val="0"/>
              <w:keepLines w:val="0"/>
              <w:widowControl w:val="0"/>
              <w:suppressLineNumbers w:val="0"/>
              <w:spacing w:before="0" w:beforeAutospacing="0" w:after="0" w:afterAutospacing="0" w:line="360" w:lineRule="auto"/>
              <w:ind w:left="0" w:right="0"/>
              <w:jc w:val="both"/>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lang w:val="en-US" w:eastAsia="zh-CN"/>
              </w:rPr>
              <w:t>1.</w:t>
            </w:r>
            <w:r>
              <w:rPr>
                <w:rFonts w:hint="eastAsia" w:ascii="仿宋_GB2312" w:hAnsi="仿宋_GB2312" w:eastAsia="仿宋_GB2312" w:cs="仿宋_GB2312"/>
                <w:color w:val="auto"/>
                <w:kern w:val="0"/>
                <w:sz w:val="21"/>
                <w:szCs w:val="21"/>
                <w:highlight w:val="none"/>
              </w:rPr>
              <w:t>指标偏离度：投标人对“技术参数及要求”中的技术要求进行点对点应答</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技术参数及要求响应偏离表）</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val="en-US" w:eastAsia="zh-CN" w:bidi="ar"/>
              </w:rPr>
              <w:t>所投产品全部技术参数及要求完全满足或优于招标文件的</w:t>
            </w:r>
            <w:r>
              <w:rPr>
                <w:rFonts w:hint="eastAsia" w:ascii="仿宋_GB2312" w:hAnsi="仿宋_GB2312" w:eastAsia="仿宋_GB2312" w:cs="仿宋_GB2312"/>
                <w:b w:val="0"/>
                <w:bCs w:val="0"/>
                <w:color w:val="auto"/>
                <w:kern w:val="0"/>
                <w:sz w:val="21"/>
                <w:szCs w:val="21"/>
                <w:highlight w:val="none"/>
                <w:lang w:val="en-US" w:eastAsia="zh-CN" w:bidi="ar"/>
              </w:rPr>
              <w:t>，得满分20分。投标技术参数存在</w:t>
            </w:r>
            <w:r>
              <w:rPr>
                <w:rFonts w:hint="eastAsia" w:ascii="仿宋_GB2312" w:hAnsi="仿宋_GB2312" w:eastAsia="仿宋_GB2312" w:cs="仿宋_GB2312"/>
                <w:color w:val="auto"/>
                <w:kern w:val="0"/>
                <w:sz w:val="21"/>
                <w:szCs w:val="21"/>
                <w:highlight w:val="none"/>
                <w:lang w:val="en-US" w:eastAsia="zh-CN" w:bidi="ar"/>
              </w:rPr>
              <w:t>负偏离、未响应情况的，按以下标准逐项扣分，扣完即止：</w:t>
            </w:r>
          </w:p>
          <w:p w14:paraId="756C7CF3">
            <w:pPr>
              <w:keepNext w:val="0"/>
              <w:keepLines w:val="0"/>
              <w:widowControl w:val="0"/>
              <w:suppressLineNumbers w:val="0"/>
              <w:spacing w:before="0" w:beforeAutospacing="0" w:after="0" w:afterAutospacing="0" w:line="360" w:lineRule="auto"/>
              <w:ind w:left="0" w:right="0"/>
              <w:jc w:val="both"/>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lang w:val="en-US" w:eastAsia="zh-CN" w:bidi="ar"/>
              </w:rPr>
              <w:t>（1）标有“★”的条款，每出现1项负偏离或未响应，扣3分；</w:t>
            </w:r>
          </w:p>
          <w:p w14:paraId="0F004E21">
            <w:pPr>
              <w:keepNext w:val="0"/>
              <w:keepLines w:val="0"/>
              <w:widowControl w:val="0"/>
              <w:suppressLineNumbers w:val="0"/>
              <w:spacing w:before="0" w:beforeAutospacing="0" w:after="0" w:afterAutospacing="0" w:line="360" w:lineRule="auto"/>
              <w:ind w:left="0" w:right="0"/>
              <w:jc w:val="both"/>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lang w:val="en-US" w:eastAsia="zh-CN" w:bidi="ar"/>
              </w:rPr>
              <w:t>（2）无“★”的条款，每出现1项负偏离或未响应，扣2分。</w:t>
            </w:r>
          </w:p>
          <w:p w14:paraId="0DF106F7">
            <w:pPr>
              <w:keepNext w:val="0"/>
              <w:keepLines w:val="0"/>
              <w:widowControl w:val="0"/>
              <w:suppressLineNumbers w:val="0"/>
              <w:spacing w:before="0" w:beforeAutospacing="0" w:after="0" w:afterAutospacing="0" w:line="360" w:lineRule="auto"/>
              <w:ind w:left="0" w:right="0"/>
              <w:jc w:val="both"/>
              <w:rPr>
                <w:rFonts w:hint="default"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bidi="ar"/>
              </w:rPr>
              <w:t>备注：</w:t>
            </w:r>
          </w:p>
          <w:p w14:paraId="775A2CCF">
            <w:pPr>
              <w:keepNext w:val="0"/>
              <w:keepLines w:val="0"/>
              <w:widowControl w:val="0"/>
              <w:numPr>
                <w:ilvl w:val="-1"/>
                <w:numId w:val="0"/>
              </w:numPr>
              <w:suppressLineNumbers w:val="0"/>
              <w:spacing w:before="0" w:beforeAutospacing="0" w:after="0" w:afterAutospacing="0" w:line="360" w:lineRule="auto"/>
              <w:ind w:left="0" w:right="0" w:rightChars="0"/>
              <w:jc w:val="both"/>
              <w:rPr>
                <w:rFonts w:hint="default"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b w:val="0"/>
                <w:bCs w:val="0"/>
                <w:color w:val="auto"/>
                <w:kern w:val="0"/>
                <w:sz w:val="21"/>
                <w:szCs w:val="21"/>
                <w:highlight w:val="none"/>
                <w:lang w:val="en-US" w:eastAsia="zh-CN" w:bidi="ar"/>
              </w:rPr>
              <w:t>（3）依据项目需求中“技术参数及要求”及“技术参数响应（偏离）表”要求</w:t>
            </w:r>
            <w:r>
              <w:rPr>
                <w:rFonts w:hint="eastAsia" w:ascii="仿宋_GB2312" w:hAnsi="仿宋_GB2312" w:eastAsia="仿宋_GB2312" w:cs="仿宋_GB2312"/>
                <w:color w:val="auto"/>
                <w:kern w:val="0"/>
                <w:sz w:val="21"/>
                <w:szCs w:val="21"/>
                <w:highlight w:val="none"/>
                <w:lang w:val="en-US" w:eastAsia="zh-CN" w:bidi="ar"/>
              </w:rPr>
              <w:t>提供的证明材料作为评审依据（原件备查）。未提供或提供不符合要求的不得分。</w:t>
            </w:r>
          </w:p>
          <w:p w14:paraId="7B25D7F7">
            <w:pPr>
              <w:keepNext w:val="0"/>
              <w:keepLines w:val="0"/>
              <w:pageBreakBefore w:val="0"/>
              <w:widowControl w:val="0"/>
              <w:suppressLineNumbers w:val="0"/>
              <w:overflowPunct/>
              <w:bidi w:val="0"/>
              <w:spacing w:before="0" w:beforeAutospacing="0" w:after="0" w:afterAutospacing="0" w:line="360" w:lineRule="auto"/>
              <w:ind w:left="0" w:right="0"/>
              <w:jc w:val="both"/>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val="en-US" w:eastAsia="zh-CN" w:bidi="ar"/>
              </w:rPr>
              <w:t>（4）项目需求中“技术参数及要求”带有“▲”项为关键要求，不纳入上述技术参数响应得分，未实质性响应带有“▲”关键要求的作无效投标处理。</w:t>
            </w:r>
          </w:p>
        </w:tc>
        <w:tc>
          <w:tcPr>
            <w:tcW w:w="663" w:type="dxa"/>
            <w:vMerge w:val="restart"/>
            <w:tcBorders>
              <w:top w:val="nil"/>
              <w:left w:val="single" w:color="auto" w:sz="4" w:space="0"/>
              <w:bottom w:val="single" w:color="auto" w:sz="4" w:space="0"/>
              <w:right w:val="single" w:color="auto" w:sz="8" w:space="0"/>
            </w:tcBorders>
            <w:shd w:val="clear" w:color="auto" w:fill="auto"/>
            <w:vAlign w:val="center"/>
          </w:tcPr>
          <w:p w14:paraId="31CB006B">
            <w:pPr>
              <w:keepNext w:val="0"/>
              <w:keepLines w:val="0"/>
              <w:pageBreakBefore w:val="0"/>
              <w:widowControl/>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20</w:t>
            </w:r>
          </w:p>
        </w:tc>
      </w:tr>
      <w:tr w14:paraId="23CB75AD">
        <w:tblPrEx>
          <w:tblCellMar>
            <w:top w:w="0" w:type="dxa"/>
            <w:left w:w="108" w:type="dxa"/>
            <w:bottom w:w="0" w:type="dxa"/>
            <w:right w:w="108" w:type="dxa"/>
          </w:tblCellMar>
        </w:tblPrEx>
        <w:trPr>
          <w:trHeight w:val="840" w:hRule="atLeast"/>
          <w:jc w:val="center"/>
        </w:trPr>
        <w:tc>
          <w:tcPr>
            <w:tcW w:w="940" w:type="dxa"/>
            <w:vMerge w:val="continue"/>
            <w:tcBorders>
              <w:top w:val="nil"/>
              <w:left w:val="single" w:color="auto" w:sz="8" w:space="0"/>
              <w:bottom w:val="single" w:color="auto" w:sz="4" w:space="0"/>
              <w:right w:val="single" w:color="auto" w:sz="4" w:space="0"/>
            </w:tcBorders>
            <w:vAlign w:val="center"/>
          </w:tcPr>
          <w:p w14:paraId="1167A135">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single" w:color="auto" w:sz="4" w:space="0"/>
              <w:left w:val="single" w:color="auto" w:sz="4" w:space="0"/>
              <w:bottom w:val="single" w:color="000000" w:sz="4" w:space="0"/>
              <w:right w:val="single" w:color="auto" w:sz="4" w:space="0"/>
            </w:tcBorders>
            <w:vAlign w:val="center"/>
          </w:tcPr>
          <w:p w14:paraId="25530E6B">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rPr>
            </w:pPr>
          </w:p>
        </w:tc>
        <w:tc>
          <w:tcPr>
            <w:tcW w:w="5827" w:type="dxa"/>
            <w:vMerge w:val="continue"/>
            <w:tcBorders>
              <w:top w:val="single" w:color="auto" w:sz="4" w:space="0"/>
              <w:left w:val="single" w:color="auto" w:sz="4" w:space="0"/>
              <w:bottom w:val="single" w:color="000000" w:sz="4" w:space="0"/>
              <w:right w:val="single" w:color="auto" w:sz="4" w:space="0"/>
            </w:tcBorders>
            <w:vAlign w:val="center"/>
          </w:tcPr>
          <w:p w14:paraId="2EB36196">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663" w:type="dxa"/>
            <w:vMerge w:val="continue"/>
            <w:tcBorders>
              <w:top w:val="nil"/>
              <w:left w:val="single" w:color="auto" w:sz="4" w:space="0"/>
              <w:bottom w:val="single" w:color="auto" w:sz="4" w:space="0"/>
              <w:right w:val="single" w:color="auto" w:sz="8" w:space="0"/>
            </w:tcBorders>
            <w:vAlign w:val="center"/>
          </w:tcPr>
          <w:p w14:paraId="7AE6DD9B">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r>
      <w:tr w14:paraId="6877FB3D">
        <w:tblPrEx>
          <w:tblCellMar>
            <w:top w:w="0" w:type="dxa"/>
            <w:left w:w="108" w:type="dxa"/>
            <w:bottom w:w="0" w:type="dxa"/>
            <w:right w:w="108" w:type="dxa"/>
          </w:tblCellMar>
        </w:tblPrEx>
        <w:trPr>
          <w:trHeight w:val="840" w:hRule="atLeast"/>
          <w:jc w:val="center"/>
        </w:trPr>
        <w:tc>
          <w:tcPr>
            <w:tcW w:w="940" w:type="dxa"/>
            <w:vMerge w:val="continue"/>
            <w:tcBorders>
              <w:top w:val="nil"/>
              <w:left w:val="single" w:color="auto" w:sz="8" w:space="0"/>
              <w:bottom w:val="single" w:color="auto" w:sz="4" w:space="0"/>
              <w:right w:val="single" w:color="auto" w:sz="4" w:space="0"/>
            </w:tcBorders>
            <w:vAlign w:val="center"/>
          </w:tcPr>
          <w:p w14:paraId="5255284C">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single" w:color="auto" w:sz="4" w:space="0"/>
              <w:left w:val="single" w:color="auto" w:sz="4" w:space="0"/>
              <w:bottom w:val="single" w:color="000000" w:sz="4" w:space="0"/>
              <w:right w:val="single" w:color="auto" w:sz="4" w:space="0"/>
            </w:tcBorders>
            <w:vAlign w:val="center"/>
          </w:tcPr>
          <w:p w14:paraId="22F5E8F8">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rPr>
            </w:pPr>
          </w:p>
        </w:tc>
        <w:tc>
          <w:tcPr>
            <w:tcW w:w="5827" w:type="dxa"/>
            <w:vMerge w:val="continue"/>
            <w:tcBorders>
              <w:top w:val="single" w:color="auto" w:sz="4" w:space="0"/>
              <w:left w:val="single" w:color="auto" w:sz="4" w:space="0"/>
              <w:bottom w:val="single" w:color="000000" w:sz="4" w:space="0"/>
              <w:right w:val="single" w:color="auto" w:sz="4" w:space="0"/>
            </w:tcBorders>
            <w:vAlign w:val="center"/>
          </w:tcPr>
          <w:p w14:paraId="0FAB86BE">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663" w:type="dxa"/>
            <w:vMerge w:val="continue"/>
            <w:tcBorders>
              <w:top w:val="nil"/>
              <w:left w:val="single" w:color="auto" w:sz="4" w:space="0"/>
              <w:bottom w:val="single" w:color="auto" w:sz="4" w:space="0"/>
              <w:right w:val="single" w:color="auto" w:sz="8" w:space="0"/>
            </w:tcBorders>
            <w:vAlign w:val="center"/>
          </w:tcPr>
          <w:p w14:paraId="26B39C07">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r>
      <w:tr w14:paraId="374BFB32">
        <w:tblPrEx>
          <w:tblCellMar>
            <w:top w:w="0" w:type="dxa"/>
            <w:left w:w="108" w:type="dxa"/>
            <w:bottom w:w="0" w:type="dxa"/>
            <w:right w:w="108" w:type="dxa"/>
          </w:tblCellMar>
        </w:tblPrEx>
        <w:trPr>
          <w:trHeight w:val="315" w:hRule="atLeast"/>
          <w:jc w:val="center"/>
        </w:trPr>
        <w:tc>
          <w:tcPr>
            <w:tcW w:w="940" w:type="dxa"/>
            <w:vMerge w:val="continue"/>
            <w:tcBorders>
              <w:top w:val="nil"/>
              <w:left w:val="single" w:color="auto" w:sz="8" w:space="0"/>
              <w:bottom w:val="single" w:color="auto" w:sz="4" w:space="0"/>
              <w:right w:val="single" w:color="auto" w:sz="4" w:space="0"/>
            </w:tcBorders>
            <w:vAlign w:val="center"/>
          </w:tcPr>
          <w:p w14:paraId="7E9E72AB">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restart"/>
            <w:tcBorders>
              <w:top w:val="nil"/>
              <w:left w:val="single" w:color="auto" w:sz="4" w:space="0"/>
              <w:bottom w:val="single" w:color="000000" w:sz="4" w:space="0"/>
              <w:right w:val="single" w:color="auto" w:sz="4" w:space="0"/>
            </w:tcBorders>
            <w:shd w:val="clear" w:color="auto" w:fill="auto"/>
            <w:vAlign w:val="center"/>
          </w:tcPr>
          <w:p w14:paraId="1F4DE869">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技术方案</w:t>
            </w:r>
          </w:p>
        </w:tc>
        <w:tc>
          <w:tcPr>
            <w:tcW w:w="5827" w:type="dxa"/>
            <w:vMerge w:val="restart"/>
            <w:tcBorders>
              <w:top w:val="nil"/>
              <w:left w:val="single" w:color="auto" w:sz="4" w:space="0"/>
              <w:bottom w:val="single" w:color="000000" w:sz="4" w:space="0"/>
              <w:right w:val="single" w:color="auto" w:sz="4" w:space="0"/>
            </w:tcBorders>
            <w:shd w:val="clear" w:color="auto" w:fill="auto"/>
            <w:vAlign w:val="center"/>
          </w:tcPr>
          <w:p w14:paraId="03D5949B">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提供详细的技术方案和实施方案，</w:t>
            </w:r>
            <w:r>
              <w:rPr>
                <w:rFonts w:hint="eastAsia" w:ascii="仿宋_GB2312" w:hAnsi="仿宋_GB2312" w:eastAsia="仿宋_GB2312" w:cs="仿宋_GB2312"/>
                <w:b/>
                <w:bCs/>
                <w:color w:val="auto"/>
                <w:kern w:val="0"/>
                <w:sz w:val="21"/>
                <w:szCs w:val="21"/>
                <w:highlight w:val="none"/>
              </w:rPr>
              <w:t>包含但不限于设备配送、系统安装、驱动调试、</w:t>
            </w:r>
            <w:r>
              <w:rPr>
                <w:rFonts w:hint="eastAsia" w:ascii="仿宋_GB2312" w:hAnsi="仿宋_GB2312" w:eastAsia="仿宋_GB2312" w:cs="仿宋_GB2312"/>
                <w:b/>
                <w:bCs/>
                <w:color w:val="auto"/>
                <w:kern w:val="0"/>
                <w:sz w:val="21"/>
                <w:szCs w:val="21"/>
                <w:highlight w:val="none"/>
                <w:lang w:val="en-US" w:eastAsia="zh-CN"/>
              </w:rPr>
              <w:t>硬件扩容升级支持、</w:t>
            </w:r>
            <w:r>
              <w:rPr>
                <w:rFonts w:hint="eastAsia" w:ascii="仿宋_GB2312" w:hAnsi="仿宋_GB2312" w:eastAsia="仿宋_GB2312" w:cs="仿宋_GB2312"/>
                <w:b/>
                <w:bCs/>
                <w:color w:val="auto"/>
                <w:kern w:val="0"/>
                <w:sz w:val="21"/>
                <w:szCs w:val="21"/>
                <w:highlight w:val="none"/>
              </w:rPr>
              <w:t>硬盘返修不回收等。</w:t>
            </w:r>
            <w:r>
              <w:rPr>
                <w:rFonts w:hint="eastAsia" w:ascii="仿宋_GB2312" w:hAnsi="仿宋_GB2312" w:eastAsia="仿宋_GB2312" w:cs="仿宋_GB2312"/>
                <w:color w:val="auto"/>
                <w:kern w:val="0"/>
                <w:sz w:val="21"/>
                <w:szCs w:val="21"/>
                <w:highlight w:val="none"/>
              </w:rPr>
              <w:t>由评标委员会进行综合评定，方案科学、合理、完善的</w:t>
            </w:r>
            <w:r>
              <w:rPr>
                <w:rFonts w:hint="eastAsia" w:ascii="仿宋_GB2312" w:hAnsi="仿宋_GB2312" w:eastAsia="仿宋_GB2312" w:cs="仿宋_GB2312"/>
                <w:color w:val="auto"/>
                <w:kern w:val="0"/>
                <w:sz w:val="21"/>
                <w:szCs w:val="21"/>
                <w:highlight w:val="none"/>
                <w:lang w:val="en-US" w:eastAsia="zh-CN"/>
              </w:rPr>
              <w:t>得5—6</w:t>
            </w:r>
            <w:r>
              <w:rPr>
                <w:rFonts w:hint="eastAsia" w:ascii="仿宋_GB2312" w:hAnsi="仿宋_GB2312" w:eastAsia="仿宋_GB2312" w:cs="仿宋_GB2312"/>
                <w:color w:val="auto"/>
                <w:kern w:val="0"/>
                <w:sz w:val="21"/>
                <w:szCs w:val="21"/>
                <w:highlight w:val="none"/>
              </w:rPr>
              <w:t>分；方案较科学、较合理、较完善的</w:t>
            </w:r>
            <w:r>
              <w:rPr>
                <w:rFonts w:hint="eastAsia" w:ascii="仿宋_GB2312" w:hAnsi="仿宋_GB2312" w:eastAsia="仿宋_GB2312" w:cs="仿宋_GB2312"/>
                <w:color w:val="auto"/>
                <w:kern w:val="0"/>
                <w:sz w:val="21"/>
                <w:szCs w:val="21"/>
                <w:highlight w:val="none"/>
                <w:lang w:val="en-US" w:eastAsia="zh-CN"/>
              </w:rPr>
              <w:t>得3—4</w:t>
            </w:r>
            <w:r>
              <w:rPr>
                <w:rFonts w:hint="eastAsia" w:ascii="仿宋_GB2312" w:hAnsi="仿宋_GB2312" w:eastAsia="仿宋_GB2312" w:cs="仿宋_GB2312"/>
                <w:color w:val="auto"/>
                <w:kern w:val="0"/>
                <w:sz w:val="21"/>
                <w:szCs w:val="21"/>
                <w:highlight w:val="none"/>
              </w:rPr>
              <w:t>分；方案科学一般、合理一般、完善一般的</w:t>
            </w:r>
            <w:r>
              <w:rPr>
                <w:rFonts w:hint="eastAsia" w:ascii="仿宋_GB2312" w:hAnsi="仿宋_GB2312" w:eastAsia="仿宋_GB2312" w:cs="仿宋_GB2312"/>
                <w:color w:val="auto"/>
                <w:kern w:val="0"/>
                <w:sz w:val="21"/>
                <w:szCs w:val="21"/>
                <w:highlight w:val="none"/>
                <w:lang w:val="en-US" w:eastAsia="zh-CN"/>
              </w:rPr>
              <w:t>得1—2</w:t>
            </w:r>
            <w:r>
              <w:rPr>
                <w:rFonts w:hint="eastAsia" w:ascii="仿宋_GB2312" w:hAnsi="仿宋_GB2312" w:eastAsia="仿宋_GB2312" w:cs="仿宋_GB2312"/>
                <w:color w:val="auto"/>
                <w:kern w:val="0"/>
                <w:sz w:val="21"/>
                <w:szCs w:val="21"/>
                <w:highlight w:val="none"/>
              </w:rPr>
              <w:t>分；未提供不</w:t>
            </w:r>
            <w:r>
              <w:rPr>
                <w:rFonts w:hint="eastAsia" w:ascii="仿宋_GB2312" w:hAnsi="仿宋_GB2312" w:eastAsia="仿宋_GB2312" w:cs="仿宋_GB2312"/>
                <w:color w:val="auto"/>
                <w:kern w:val="0"/>
                <w:sz w:val="21"/>
                <w:szCs w:val="21"/>
                <w:highlight w:val="none"/>
                <w:lang w:val="en-US" w:eastAsia="zh-CN"/>
              </w:rPr>
              <w:t>得</w:t>
            </w:r>
            <w:r>
              <w:rPr>
                <w:rFonts w:hint="eastAsia" w:ascii="仿宋_GB2312" w:hAnsi="仿宋_GB2312" w:eastAsia="仿宋_GB2312" w:cs="仿宋_GB2312"/>
                <w:color w:val="auto"/>
                <w:kern w:val="0"/>
                <w:sz w:val="21"/>
                <w:szCs w:val="21"/>
                <w:highlight w:val="none"/>
              </w:rPr>
              <w:t>分。</w:t>
            </w:r>
          </w:p>
        </w:tc>
        <w:tc>
          <w:tcPr>
            <w:tcW w:w="663" w:type="dxa"/>
            <w:vMerge w:val="restart"/>
            <w:tcBorders>
              <w:top w:val="nil"/>
              <w:left w:val="single" w:color="auto" w:sz="4" w:space="0"/>
              <w:bottom w:val="single" w:color="auto" w:sz="4" w:space="0"/>
              <w:right w:val="single" w:color="auto" w:sz="8" w:space="0"/>
            </w:tcBorders>
            <w:shd w:val="clear" w:color="auto" w:fill="auto"/>
            <w:vAlign w:val="center"/>
          </w:tcPr>
          <w:p w14:paraId="0D0DB2DF">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6</w:t>
            </w:r>
          </w:p>
        </w:tc>
      </w:tr>
      <w:tr w14:paraId="44A9DEC4">
        <w:tblPrEx>
          <w:tblCellMar>
            <w:top w:w="0" w:type="dxa"/>
            <w:left w:w="108" w:type="dxa"/>
            <w:bottom w:w="0" w:type="dxa"/>
            <w:right w:w="108" w:type="dxa"/>
          </w:tblCellMar>
        </w:tblPrEx>
        <w:trPr>
          <w:trHeight w:val="315" w:hRule="atLeast"/>
          <w:jc w:val="center"/>
        </w:trPr>
        <w:tc>
          <w:tcPr>
            <w:tcW w:w="940" w:type="dxa"/>
            <w:vMerge w:val="continue"/>
            <w:tcBorders>
              <w:top w:val="nil"/>
              <w:left w:val="single" w:color="auto" w:sz="8" w:space="0"/>
              <w:bottom w:val="single" w:color="auto" w:sz="4" w:space="0"/>
              <w:right w:val="single" w:color="auto" w:sz="4" w:space="0"/>
            </w:tcBorders>
            <w:vAlign w:val="center"/>
          </w:tcPr>
          <w:p w14:paraId="160B770C">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nil"/>
              <w:left w:val="single" w:color="auto" w:sz="4" w:space="0"/>
              <w:bottom w:val="single" w:color="000000" w:sz="4" w:space="0"/>
              <w:right w:val="single" w:color="auto" w:sz="4" w:space="0"/>
            </w:tcBorders>
            <w:vAlign w:val="center"/>
          </w:tcPr>
          <w:p w14:paraId="7671A24D">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5827" w:type="dxa"/>
            <w:vMerge w:val="continue"/>
            <w:tcBorders>
              <w:top w:val="nil"/>
              <w:left w:val="single" w:color="auto" w:sz="4" w:space="0"/>
              <w:bottom w:val="single" w:color="000000" w:sz="4" w:space="0"/>
              <w:right w:val="single" w:color="auto" w:sz="4" w:space="0"/>
            </w:tcBorders>
            <w:vAlign w:val="center"/>
          </w:tcPr>
          <w:p w14:paraId="2CDFF801">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663" w:type="dxa"/>
            <w:vMerge w:val="continue"/>
            <w:tcBorders>
              <w:top w:val="nil"/>
              <w:left w:val="single" w:color="auto" w:sz="4" w:space="0"/>
              <w:bottom w:val="single" w:color="auto" w:sz="4" w:space="0"/>
              <w:right w:val="single" w:color="auto" w:sz="8" w:space="0"/>
            </w:tcBorders>
            <w:vAlign w:val="center"/>
          </w:tcPr>
          <w:p w14:paraId="3A885049">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r>
      <w:tr w14:paraId="4B8D3289">
        <w:tblPrEx>
          <w:tblCellMar>
            <w:top w:w="0" w:type="dxa"/>
            <w:left w:w="108" w:type="dxa"/>
            <w:bottom w:w="0" w:type="dxa"/>
            <w:right w:w="108" w:type="dxa"/>
          </w:tblCellMar>
        </w:tblPrEx>
        <w:trPr>
          <w:trHeight w:val="315" w:hRule="atLeast"/>
          <w:jc w:val="center"/>
        </w:trPr>
        <w:tc>
          <w:tcPr>
            <w:tcW w:w="940" w:type="dxa"/>
            <w:vMerge w:val="continue"/>
            <w:tcBorders>
              <w:top w:val="nil"/>
              <w:left w:val="single" w:color="auto" w:sz="8" w:space="0"/>
              <w:bottom w:val="single" w:color="auto" w:sz="4" w:space="0"/>
              <w:right w:val="single" w:color="auto" w:sz="4" w:space="0"/>
            </w:tcBorders>
            <w:vAlign w:val="center"/>
          </w:tcPr>
          <w:p w14:paraId="2D536D67">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nil"/>
              <w:left w:val="single" w:color="auto" w:sz="4" w:space="0"/>
              <w:bottom w:val="single" w:color="000000" w:sz="4" w:space="0"/>
              <w:right w:val="single" w:color="auto" w:sz="4" w:space="0"/>
            </w:tcBorders>
            <w:vAlign w:val="center"/>
          </w:tcPr>
          <w:p w14:paraId="5D62B293">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5827" w:type="dxa"/>
            <w:vMerge w:val="continue"/>
            <w:tcBorders>
              <w:top w:val="nil"/>
              <w:left w:val="single" w:color="auto" w:sz="4" w:space="0"/>
              <w:bottom w:val="single" w:color="000000" w:sz="4" w:space="0"/>
              <w:right w:val="single" w:color="auto" w:sz="4" w:space="0"/>
            </w:tcBorders>
            <w:vAlign w:val="center"/>
          </w:tcPr>
          <w:p w14:paraId="34464292">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663" w:type="dxa"/>
            <w:vMerge w:val="continue"/>
            <w:tcBorders>
              <w:top w:val="nil"/>
              <w:left w:val="single" w:color="auto" w:sz="4" w:space="0"/>
              <w:bottom w:val="single" w:color="auto" w:sz="4" w:space="0"/>
              <w:right w:val="single" w:color="auto" w:sz="8" w:space="0"/>
            </w:tcBorders>
            <w:vAlign w:val="center"/>
          </w:tcPr>
          <w:p w14:paraId="1C2454DC">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r>
      <w:tr w14:paraId="5719DA88">
        <w:tblPrEx>
          <w:tblCellMar>
            <w:top w:w="0" w:type="dxa"/>
            <w:left w:w="108" w:type="dxa"/>
            <w:bottom w:w="0" w:type="dxa"/>
            <w:right w:w="108" w:type="dxa"/>
          </w:tblCellMar>
        </w:tblPrEx>
        <w:trPr>
          <w:trHeight w:val="315" w:hRule="atLeast"/>
          <w:jc w:val="center"/>
        </w:trPr>
        <w:tc>
          <w:tcPr>
            <w:tcW w:w="940" w:type="dxa"/>
            <w:vMerge w:val="continue"/>
            <w:tcBorders>
              <w:top w:val="nil"/>
              <w:left w:val="single" w:color="auto" w:sz="8" w:space="0"/>
              <w:bottom w:val="single" w:color="auto" w:sz="4" w:space="0"/>
              <w:right w:val="single" w:color="auto" w:sz="4" w:space="0"/>
            </w:tcBorders>
            <w:vAlign w:val="center"/>
          </w:tcPr>
          <w:p w14:paraId="7FB6C1AB">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nil"/>
              <w:left w:val="single" w:color="auto" w:sz="4" w:space="0"/>
              <w:bottom w:val="single" w:color="000000" w:sz="4" w:space="0"/>
              <w:right w:val="single" w:color="auto" w:sz="4" w:space="0"/>
            </w:tcBorders>
            <w:vAlign w:val="center"/>
          </w:tcPr>
          <w:p w14:paraId="7039A011">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5827" w:type="dxa"/>
            <w:vMerge w:val="continue"/>
            <w:tcBorders>
              <w:top w:val="nil"/>
              <w:left w:val="single" w:color="auto" w:sz="4" w:space="0"/>
              <w:bottom w:val="single" w:color="000000" w:sz="4" w:space="0"/>
              <w:right w:val="single" w:color="auto" w:sz="4" w:space="0"/>
            </w:tcBorders>
            <w:vAlign w:val="center"/>
          </w:tcPr>
          <w:p w14:paraId="57FCF7E3">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663" w:type="dxa"/>
            <w:vMerge w:val="continue"/>
            <w:tcBorders>
              <w:top w:val="nil"/>
              <w:left w:val="single" w:color="auto" w:sz="4" w:space="0"/>
              <w:bottom w:val="single" w:color="auto" w:sz="4" w:space="0"/>
              <w:right w:val="single" w:color="auto" w:sz="8" w:space="0"/>
            </w:tcBorders>
            <w:vAlign w:val="center"/>
          </w:tcPr>
          <w:p w14:paraId="4AF9E807">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r>
      <w:tr w14:paraId="153989F2">
        <w:tblPrEx>
          <w:tblCellMar>
            <w:top w:w="0" w:type="dxa"/>
            <w:left w:w="108" w:type="dxa"/>
            <w:bottom w:w="0" w:type="dxa"/>
            <w:right w:w="108" w:type="dxa"/>
          </w:tblCellMar>
        </w:tblPrEx>
        <w:trPr>
          <w:trHeight w:val="795" w:hRule="atLeast"/>
          <w:jc w:val="center"/>
        </w:trPr>
        <w:tc>
          <w:tcPr>
            <w:tcW w:w="940" w:type="dxa"/>
            <w:vMerge w:val="continue"/>
            <w:tcBorders>
              <w:top w:val="nil"/>
              <w:left w:val="single" w:color="auto" w:sz="8" w:space="0"/>
              <w:bottom w:val="single" w:color="auto" w:sz="4" w:space="0"/>
              <w:right w:val="single" w:color="auto" w:sz="4" w:space="0"/>
            </w:tcBorders>
            <w:vAlign w:val="center"/>
          </w:tcPr>
          <w:p w14:paraId="04055B22">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restart"/>
            <w:tcBorders>
              <w:top w:val="nil"/>
              <w:left w:val="single" w:color="auto" w:sz="4" w:space="0"/>
              <w:bottom w:val="single" w:color="000000" w:sz="4" w:space="0"/>
              <w:right w:val="single" w:color="auto" w:sz="4" w:space="0"/>
            </w:tcBorders>
            <w:shd w:val="clear" w:color="auto" w:fill="auto"/>
            <w:vAlign w:val="center"/>
          </w:tcPr>
          <w:p w14:paraId="68F64FB5">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售后服务</w:t>
            </w:r>
            <w:r>
              <w:rPr>
                <w:rFonts w:hint="eastAsia" w:ascii="仿宋_GB2312" w:hAnsi="仿宋_GB2312" w:eastAsia="仿宋_GB2312" w:cs="仿宋_GB2312"/>
                <w:color w:val="auto"/>
                <w:kern w:val="0"/>
                <w:sz w:val="21"/>
                <w:szCs w:val="21"/>
                <w:highlight w:val="none"/>
                <w:lang w:val="en-US" w:eastAsia="zh-CN"/>
              </w:rPr>
              <w:t>方案</w:t>
            </w:r>
          </w:p>
        </w:tc>
        <w:tc>
          <w:tcPr>
            <w:tcW w:w="5827" w:type="dxa"/>
            <w:vMerge w:val="restart"/>
            <w:tcBorders>
              <w:top w:val="nil"/>
              <w:left w:val="single" w:color="auto" w:sz="4" w:space="0"/>
              <w:bottom w:val="single" w:color="000000" w:sz="4" w:space="0"/>
              <w:right w:val="single" w:color="auto" w:sz="4" w:space="0"/>
            </w:tcBorders>
            <w:shd w:val="clear" w:color="auto" w:fill="auto"/>
            <w:vAlign w:val="center"/>
          </w:tcPr>
          <w:p w14:paraId="4F783258">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w:t>
            </w:r>
            <w:r>
              <w:rPr>
                <w:rFonts w:hint="eastAsia" w:ascii="仿宋_GB2312" w:hAnsi="仿宋_GB2312" w:eastAsia="仿宋_GB2312" w:cs="仿宋_GB2312"/>
                <w:color w:val="auto"/>
                <w:kern w:val="0"/>
                <w:sz w:val="21"/>
                <w:szCs w:val="21"/>
                <w:highlight w:val="none"/>
                <w:lang w:val="en-US" w:eastAsia="zh-CN"/>
              </w:rPr>
              <w:t>便利化</w:t>
            </w:r>
            <w:r>
              <w:rPr>
                <w:rFonts w:hint="eastAsia" w:ascii="仿宋_GB2312" w:hAnsi="仿宋_GB2312" w:eastAsia="仿宋_GB2312" w:cs="仿宋_GB2312"/>
                <w:color w:val="auto"/>
                <w:kern w:val="0"/>
                <w:sz w:val="21"/>
                <w:szCs w:val="21"/>
                <w:highlight w:val="none"/>
              </w:rPr>
              <w:t>服务，可以长期提供</w:t>
            </w:r>
            <w:r>
              <w:rPr>
                <w:rFonts w:hint="eastAsia" w:ascii="仿宋_GB2312" w:hAnsi="仿宋_GB2312" w:eastAsia="仿宋_GB2312" w:cs="仿宋_GB2312"/>
                <w:color w:val="auto"/>
                <w:kern w:val="0"/>
                <w:sz w:val="21"/>
                <w:szCs w:val="21"/>
                <w:highlight w:val="none"/>
                <w:lang w:val="en-US" w:eastAsia="zh-CN"/>
              </w:rPr>
              <w:t>便利化</w:t>
            </w:r>
            <w:r>
              <w:rPr>
                <w:rFonts w:hint="eastAsia" w:ascii="仿宋_GB2312" w:hAnsi="仿宋_GB2312" w:eastAsia="仿宋_GB2312" w:cs="仿宋_GB2312"/>
                <w:color w:val="auto"/>
                <w:kern w:val="0"/>
                <w:sz w:val="21"/>
                <w:szCs w:val="21"/>
                <w:highlight w:val="none"/>
              </w:rPr>
              <w:t>的快速响应服务的</w:t>
            </w:r>
            <w:r>
              <w:rPr>
                <w:rFonts w:hint="eastAsia" w:ascii="仿宋_GB2312" w:hAnsi="仿宋_GB2312" w:eastAsia="仿宋_GB2312" w:cs="仿宋_GB2312"/>
                <w:color w:val="auto"/>
                <w:kern w:val="0"/>
                <w:sz w:val="21"/>
                <w:szCs w:val="21"/>
                <w:highlight w:val="none"/>
                <w:lang w:val="en-US" w:eastAsia="zh-CN"/>
              </w:rPr>
              <w:t>得4</w:t>
            </w:r>
            <w:r>
              <w:rPr>
                <w:rFonts w:hint="eastAsia" w:ascii="仿宋_GB2312" w:hAnsi="仿宋_GB2312" w:eastAsia="仿宋_GB2312" w:cs="仿宋_GB2312"/>
                <w:color w:val="auto"/>
                <w:kern w:val="0"/>
                <w:sz w:val="21"/>
                <w:szCs w:val="21"/>
                <w:highlight w:val="none"/>
              </w:rPr>
              <w:t>分，未提供不</w:t>
            </w:r>
            <w:r>
              <w:rPr>
                <w:rFonts w:hint="eastAsia" w:ascii="仿宋_GB2312" w:hAnsi="仿宋_GB2312" w:eastAsia="仿宋_GB2312" w:cs="仿宋_GB2312"/>
                <w:color w:val="auto"/>
                <w:kern w:val="0"/>
                <w:sz w:val="21"/>
                <w:szCs w:val="21"/>
                <w:highlight w:val="none"/>
                <w:lang w:val="en-US" w:eastAsia="zh-CN"/>
              </w:rPr>
              <w:t>得</w:t>
            </w:r>
            <w:r>
              <w:rPr>
                <w:rFonts w:hint="eastAsia" w:ascii="仿宋_GB2312" w:hAnsi="仿宋_GB2312" w:eastAsia="仿宋_GB2312" w:cs="仿宋_GB2312"/>
                <w:color w:val="auto"/>
                <w:kern w:val="0"/>
                <w:sz w:val="21"/>
                <w:szCs w:val="21"/>
                <w:highlight w:val="none"/>
              </w:rPr>
              <w:t>分</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rPr>
              <w:br w:type="textWrapping"/>
            </w:r>
            <w:r>
              <w:rPr>
                <w:rFonts w:hint="eastAsia" w:ascii="仿宋_GB2312" w:hAnsi="仿宋_GB2312" w:eastAsia="仿宋_GB2312" w:cs="仿宋_GB2312"/>
                <w:color w:val="auto"/>
                <w:kern w:val="0"/>
                <w:sz w:val="21"/>
                <w:szCs w:val="21"/>
                <w:highlight w:val="none"/>
              </w:rPr>
              <w:t>【提供营业执照或相关证明材料</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lang w:val="en-US" w:eastAsia="zh-CN"/>
              </w:rPr>
              <w:t>并加盖投标人单位公章</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rPr>
              <w:br w:type="textWrapping"/>
            </w:r>
            <w:r>
              <w:rPr>
                <w:rFonts w:hint="eastAsia" w:ascii="仿宋_GB2312" w:hAnsi="仿宋_GB2312" w:eastAsia="仿宋_GB2312" w:cs="仿宋_GB2312"/>
                <w:color w:val="auto"/>
                <w:kern w:val="0"/>
                <w:sz w:val="21"/>
                <w:szCs w:val="21"/>
                <w:highlight w:val="none"/>
              </w:rPr>
              <w:t>（2）提供电脑产品的详细售后服务方案，包含但不限于售后服务响应时间、故障修复时长、维护团队等进行综合因素评分，方案科学、合理、完善的</w:t>
            </w:r>
            <w:r>
              <w:rPr>
                <w:rFonts w:hint="eastAsia" w:ascii="仿宋_GB2312" w:hAnsi="仿宋_GB2312" w:eastAsia="仿宋_GB2312" w:cs="仿宋_GB2312"/>
                <w:color w:val="auto"/>
                <w:kern w:val="0"/>
                <w:sz w:val="21"/>
                <w:szCs w:val="21"/>
                <w:highlight w:val="none"/>
                <w:lang w:val="en-US" w:eastAsia="zh-CN"/>
              </w:rPr>
              <w:t>得5—6</w:t>
            </w:r>
            <w:r>
              <w:rPr>
                <w:rFonts w:hint="eastAsia" w:ascii="仿宋_GB2312" w:hAnsi="仿宋_GB2312" w:eastAsia="仿宋_GB2312" w:cs="仿宋_GB2312"/>
                <w:color w:val="auto"/>
                <w:kern w:val="0"/>
                <w:sz w:val="21"/>
                <w:szCs w:val="21"/>
                <w:highlight w:val="none"/>
              </w:rPr>
              <w:t>分；方案较科学、较合理、较完善的</w:t>
            </w:r>
            <w:r>
              <w:rPr>
                <w:rFonts w:hint="eastAsia" w:ascii="仿宋_GB2312" w:hAnsi="仿宋_GB2312" w:eastAsia="仿宋_GB2312" w:cs="仿宋_GB2312"/>
                <w:color w:val="auto"/>
                <w:kern w:val="0"/>
                <w:sz w:val="21"/>
                <w:szCs w:val="21"/>
                <w:highlight w:val="none"/>
                <w:lang w:val="en-US" w:eastAsia="zh-CN"/>
              </w:rPr>
              <w:t>得3—4</w:t>
            </w:r>
            <w:r>
              <w:rPr>
                <w:rFonts w:hint="eastAsia" w:ascii="仿宋_GB2312" w:hAnsi="仿宋_GB2312" w:eastAsia="仿宋_GB2312" w:cs="仿宋_GB2312"/>
                <w:color w:val="auto"/>
                <w:kern w:val="0"/>
                <w:sz w:val="21"/>
                <w:szCs w:val="21"/>
                <w:highlight w:val="none"/>
              </w:rPr>
              <w:t>分；方案科学一般、合理一般、完善一般的</w:t>
            </w:r>
            <w:r>
              <w:rPr>
                <w:rFonts w:hint="eastAsia" w:ascii="仿宋_GB2312" w:hAnsi="仿宋_GB2312" w:eastAsia="仿宋_GB2312" w:cs="仿宋_GB2312"/>
                <w:color w:val="auto"/>
                <w:kern w:val="0"/>
                <w:sz w:val="21"/>
                <w:szCs w:val="21"/>
                <w:highlight w:val="none"/>
                <w:lang w:val="en-US" w:eastAsia="zh-CN"/>
              </w:rPr>
              <w:t>得1—2</w:t>
            </w:r>
            <w:r>
              <w:rPr>
                <w:rFonts w:hint="eastAsia" w:ascii="仿宋_GB2312" w:hAnsi="仿宋_GB2312" w:eastAsia="仿宋_GB2312" w:cs="仿宋_GB2312"/>
                <w:color w:val="auto"/>
                <w:kern w:val="0"/>
                <w:sz w:val="21"/>
                <w:szCs w:val="21"/>
                <w:highlight w:val="none"/>
              </w:rPr>
              <w:t>分；未提供不</w:t>
            </w:r>
            <w:r>
              <w:rPr>
                <w:rFonts w:hint="eastAsia" w:ascii="仿宋_GB2312" w:hAnsi="仿宋_GB2312" w:eastAsia="仿宋_GB2312" w:cs="仿宋_GB2312"/>
                <w:color w:val="auto"/>
                <w:kern w:val="0"/>
                <w:sz w:val="21"/>
                <w:szCs w:val="21"/>
                <w:highlight w:val="none"/>
                <w:lang w:val="en-US" w:eastAsia="zh-CN"/>
              </w:rPr>
              <w:t>得</w:t>
            </w:r>
            <w:r>
              <w:rPr>
                <w:rFonts w:hint="eastAsia" w:ascii="仿宋_GB2312" w:hAnsi="仿宋_GB2312" w:eastAsia="仿宋_GB2312" w:cs="仿宋_GB2312"/>
                <w:color w:val="auto"/>
                <w:kern w:val="0"/>
                <w:sz w:val="21"/>
                <w:szCs w:val="21"/>
                <w:highlight w:val="none"/>
              </w:rPr>
              <w:t>分</w:t>
            </w:r>
            <w:r>
              <w:rPr>
                <w:rFonts w:hint="eastAsia" w:ascii="仿宋_GB2312" w:hAnsi="仿宋_GB2312" w:eastAsia="仿宋_GB2312" w:cs="仿宋_GB2312"/>
                <w:color w:val="auto"/>
                <w:kern w:val="0"/>
                <w:sz w:val="21"/>
                <w:szCs w:val="21"/>
                <w:highlight w:val="none"/>
                <w:lang w:eastAsia="zh-CN"/>
              </w:rPr>
              <w:t>。</w:t>
            </w:r>
            <w:r>
              <w:rPr>
                <w:rFonts w:hint="eastAsia" w:ascii="仿宋_GB2312" w:hAnsi="仿宋_GB2312" w:eastAsia="仿宋_GB2312" w:cs="仿宋_GB2312"/>
                <w:color w:val="auto"/>
                <w:kern w:val="0"/>
                <w:sz w:val="21"/>
                <w:szCs w:val="21"/>
                <w:highlight w:val="none"/>
              </w:rPr>
              <w:t>【</w:t>
            </w:r>
            <w:r>
              <w:rPr>
                <w:rFonts w:hint="eastAsia" w:ascii="仿宋_GB2312" w:hAnsi="仿宋_GB2312" w:eastAsia="仿宋_GB2312" w:cs="仿宋_GB2312"/>
                <w:color w:val="auto"/>
                <w:kern w:val="0"/>
                <w:sz w:val="21"/>
                <w:szCs w:val="21"/>
                <w:highlight w:val="none"/>
                <w:lang w:val="en-US" w:eastAsia="zh-CN"/>
              </w:rPr>
              <w:t>需加盖投标人单位公章</w:t>
            </w:r>
            <w:r>
              <w:rPr>
                <w:rFonts w:hint="eastAsia" w:ascii="仿宋_GB2312" w:hAnsi="仿宋_GB2312" w:eastAsia="仿宋_GB2312" w:cs="仿宋_GB2312"/>
                <w:color w:val="auto"/>
                <w:kern w:val="0"/>
                <w:sz w:val="21"/>
                <w:szCs w:val="21"/>
                <w:highlight w:val="none"/>
              </w:rPr>
              <w:t>】</w:t>
            </w:r>
          </w:p>
        </w:tc>
        <w:tc>
          <w:tcPr>
            <w:tcW w:w="663" w:type="dxa"/>
            <w:vMerge w:val="restart"/>
            <w:tcBorders>
              <w:top w:val="nil"/>
              <w:left w:val="single" w:color="auto" w:sz="4" w:space="0"/>
              <w:bottom w:val="single" w:color="000000" w:sz="4" w:space="0"/>
              <w:right w:val="single" w:color="auto" w:sz="8" w:space="0"/>
            </w:tcBorders>
            <w:shd w:val="clear" w:color="auto" w:fill="auto"/>
            <w:vAlign w:val="center"/>
          </w:tcPr>
          <w:p w14:paraId="7A9673C5">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6</w:t>
            </w:r>
          </w:p>
        </w:tc>
      </w:tr>
      <w:tr w14:paraId="0DFAF0D3">
        <w:tblPrEx>
          <w:tblCellMar>
            <w:top w:w="0" w:type="dxa"/>
            <w:left w:w="108" w:type="dxa"/>
            <w:bottom w:w="0" w:type="dxa"/>
            <w:right w:w="108" w:type="dxa"/>
          </w:tblCellMar>
        </w:tblPrEx>
        <w:trPr>
          <w:trHeight w:val="795" w:hRule="atLeast"/>
          <w:jc w:val="center"/>
        </w:trPr>
        <w:tc>
          <w:tcPr>
            <w:tcW w:w="940" w:type="dxa"/>
            <w:vMerge w:val="continue"/>
            <w:tcBorders>
              <w:top w:val="nil"/>
              <w:left w:val="single" w:color="auto" w:sz="8" w:space="0"/>
              <w:bottom w:val="single" w:color="auto" w:sz="4" w:space="0"/>
              <w:right w:val="single" w:color="auto" w:sz="4" w:space="0"/>
            </w:tcBorders>
            <w:vAlign w:val="center"/>
          </w:tcPr>
          <w:p w14:paraId="25BA3CC1">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nil"/>
              <w:left w:val="single" w:color="auto" w:sz="4" w:space="0"/>
              <w:bottom w:val="single" w:color="000000" w:sz="4" w:space="0"/>
              <w:right w:val="single" w:color="auto" w:sz="4" w:space="0"/>
            </w:tcBorders>
            <w:vAlign w:val="center"/>
          </w:tcPr>
          <w:p w14:paraId="69691E52">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5827" w:type="dxa"/>
            <w:vMerge w:val="continue"/>
            <w:tcBorders>
              <w:top w:val="nil"/>
              <w:left w:val="single" w:color="auto" w:sz="4" w:space="0"/>
              <w:bottom w:val="single" w:color="000000" w:sz="4" w:space="0"/>
              <w:right w:val="single" w:color="auto" w:sz="4" w:space="0"/>
            </w:tcBorders>
            <w:vAlign w:val="center"/>
          </w:tcPr>
          <w:p w14:paraId="149B81E9">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663" w:type="dxa"/>
            <w:vMerge w:val="continue"/>
            <w:tcBorders>
              <w:top w:val="nil"/>
              <w:left w:val="single" w:color="auto" w:sz="4" w:space="0"/>
              <w:bottom w:val="single" w:color="000000" w:sz="4" w:space="0"/>
              <w:right w:val="single" w:color="auto" w:sz="8" w:space="0"/>
            </w:tcBorders>
            <w:vAlign w:val="center"/>
          </w:tcPr>
          <w:p w14:paraId="57755BE4">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r>
      <w:tr w14:paraId="05469C45">
        <w:tblPrEx>
          <w:tblCellMar>
            <w:top w:w="0" w:type="dxa"/>
            <w:left w:w="108" w:type="dxa"/>
            <w:bottom w:w="0" w:type="dxa"/>
            <w:right w:w="108" w:type="dxa"/>
          </w:tblCellMar>
        </w:tblPrEx>
        <w:trPr>
          <w:trHeight w:val="795" w:hRule="atLeast"/>
          <w:jc w:val="center"/>
        </w:trPr>
        <w:tc>
          <w:tcPr>
            <w:tcW w:w="940" w:type="dxa"/>
            <w:vMerge w:val="continue"/>
            <w:tcBorders>
              <w:top w:val="nil"/>
              <w:left w:val="single" w:color="auto" w:sz="8" w:space="0"/>
              <w:bottom w:val="single" w:color="auto" w:sz="4" w:space="0"/>
              <w:right w:val="single" w:color="auto" w:sz="4" w:space="0"/>
            </w:tcBorders>
            <w:vAlign w:val="center"/>
          </w:tcPr>
          <w:p w14:paraId="2E09E34A">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1090" w:type="dxa"/>
            <w:vMerge w:val="continue"/>
            <w:tcBorders>
              <w:top w:val="nil"/>
              <w:left w:val="single" w:color="auto" w:sz="4" w:space="0"/>
              <w:bottom w:val="single" w:color="000000" w:sz="4" w:space="0"/>
              <w:right w:val="single" w:color="auto" w:sz="4" w:space="0"/>
            </w:tcBorders>
            <w:vAlign w:val="center"/>
          </w:tcPr>
          <w:p w14:paraId="3AF2BB83">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5827" w:type="dxa"/>
            <w:vMerge w:val="continue"/>
            <w:tcBorders>
              <w:top w:val="nil"/>
              <w:left w:val="single" w:color="auto" w:sz="4" w:space="0"/>
              <w:bottom w:val="single" w:color="000000" w:sz="4" w:space="0"/>
              <w:right w:val="single" w:color="auto" w:sz="4" w:space="0"/>
            </w:tcBorders>
            <w:vAlign w:val="center"/>
          </w:tcPr>
          <w:p w14:paraId="1EA8C1B0">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c>
          <w:tcPr>
            <w:tcW w:w="663" w:type="dxa"/>
            <w:vMerge w:val="continue"/>
            <w:tcBorders>
              <w:top w:val="nil"/>
              <w:left w:val="single" w:color="auto" w:sz="4" w:space="0"/>
              <w:bottom w:val="single" w:color="000000" w:sz="4" w:space="0"/>
              <w:right w:val="single" w:color="auto" w:sz="8" w:space="0"/>
            </w:tcBorders>
            <w:vAlign w:val="center"/>
          </w:tcPr>
          <w:p w14:paraId="68B8FF3F">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p>
        </w:tc>
      </w:tr>
      <w:tr w14:paraId="72685390">
        <w:tblPrEx>
          <w:tblCellMar>
            <w:top w:w="0" w:type="dxa"/>
            <w:left w:w="108" w:type="dxa"/>
            <w:bottom w:w="0" w:type="dxa"/>
            <w:right w:w="108" w:type="dxa"/>
          </w:tblCellMar>
        </w:tblPrEx>
        <w:trPr>
          <w:trHeight w:val="9463" w:hRule="atLeast"/>
          <w:jc w:val="center"/>
        </w:trPr>
        <w:tc>
          <w:tcPr>
            <w:tcW w:w="940" w:type="dxa"/>
            <w:tcBorders>
              <w:top w:val="nil"/>
              <w:left w:val="single" w:color="auto" w:sz="8" w:space="0"/>
              <w:bottom w:val="single" w:color="auto" w:sz="8" w:space="0"/>
              <w:right w:val="single" w:color="auto" w:sz="4" w:space="0"/>
            </w:tcBorders>
            <w:shd w:val="clear" w:color="auto" w:fill="auto"/>
            <w:vAlign w:val="center"/>
          </w:tcPr>
          <w:p w14:paraId="5BE1BD40">
            <w:pPr>
              <w:keepNext w:val="0"/>
              <w:keepLines w:val="0"/>
              <w:pageBreakBefore w:val="0"/>
              <w:widowControl/>
              <w:suppressLineNumbers w:val="0"/>
              <w:overflowPunct/>
              <w:bidi w:val="0"/>
              <w:spacing w:before="0" w:beforeAutospacing="0" w:after="0" w:afterAutospacing="0" w:line="360" w:lineRule="auto"/>
              <w:ind w:left="0" w:right="0"/>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价格</w:t>
            </w:r>
            <w:r>
              <w:rPr>
                <w:rFonts w:hint="eastAsia" w:ascii="仿宋_GB2312" w:hAnsi="仿宋_GB2312" w:eastAsia="仿宋_GB2312" w:cs="仿宋_GB2312"/>
                <w:color w:val="auto"/>
                <w:kern w:val="0"/>
                <w:sz w:val="21"/>
                <w:szCs w:val="21"/>
                <w:highlight w:val="none"/>
                <w:lang w:val="en-US" w:eastAsia="zh-CN"/>
              </w:rPr>
              <w:t>标</w:t>
            </w:r>
            <w:r>
              <w:rPr>
                <w:rFonts w:hint="eastAsia" w:ascii="仿宋_GB2312" w:hAnsi="仿宋_GB2312" w:eastAsia="仿宋_GB2312" w:cs="仿宋_GB2312"/>
                <w:color w:val="auto"/>
                <w:kern w:val="0"/>
                <w:sz w:val="21"/>
                <w:szCs w:val="21"/>
                <w:highlight w:val="none"/>
              </w:rPr>
              <w:t>部分</w:t>
            </w:r>
          </w:p>
        </w:tc>
        <w:tc>
          <w:tcPr>
            <w:tcW w:w="1090" w:type="dxa"/>
            <w:tcBorders>
              <w:top w:val="nil"/>
              <w:left w:val="nil"/>
              <w:bottom w:val="single" w:color="auto" w:sz="8" w:space="0"/>
              <w:right w:val="single" w:color="auto" w:sz="4" w:space="0"/>
            </w:tcBorders>
            <w:shd w:val="clear" w:color="auto" w:fill="auto"/>
            <w:vAlign w:val="center"/>
          </w:tcPr>
          <w:p w14:paraId="20C9249E">
            <w:pPr>
              <w:keepNext w:val="0"/>
              <w:keepLines w:val="0"/>
              <w:pageBreakBefore w:val="0"/>
              <w:widowControl/>
              <w:suppressLineNumbers w:val="0"/>
              <w:overflowPunct/>
              <w:bidi w:val="0"/>
              <w:spacing w:before="0" w:beforeAutospacing="0" w:after="0" w:afterAutospacing="0" w:line="360" w:lineRule="auto"/>
              <w:ind w:left="0" w:right="0"/>
              <w:jc w:val="left"/>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价格计算</w:t>
            </w:r>
          </w:p>
        </w:tc>
        <w:tc>
          <w:tcPr>
            <w:tcW w:w="5827" w:type="dxa"/>
            <w:tcBorders>
              <w:top w:val="nil"/>
              <w:left w:val="nil"/>
              <w:bottom w:val="single" w:color="auto" w:sz="8" w:space="0"/>
              <w:right w:val="single" w:color="auto" w:sz="4" w:space="0"/>
            </w:tcBorders>
            <w:shd w:val="clear" w:color="auto" w:fill="auto"/>
            <w:vAlign w:val="center"/>
          </w:tcPr>
          <w:p w14:paraId="2DAEF103">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1.确定评标价平均值</w:t>
            </w:r>
          </w:p>
          <w:p w14:paraId="7CD45900">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当通过初步评审的投标人数量≥5家时，则去掉一个最高价和一个最低价，取剩余最终投标报价进行算术平均，得出评标价平均值；</w:t>
            </w:r>
          </w:p>
          <w:p w14:paraId="412D8AF0">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当通过初步评审的投标人数量＜5家时，则直接取全部最终投标报价进行算术平均，得出评标价平均值。</w:t>
            </w:r>
          </w:p>
          <w:p w14:paraId="7B3FA311">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2.确定评标基准价</w:t>
            </w:r>
          </w:p>
          <w:p w14:paraId="69335F7F">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评标基准价=评标价平均值</w:t>
            </w:r>
          </w:p>
          <w:p w14:paraId="41E8F823">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在评标过程中，评标委员会应对评标基准价进行复核，存在计算误差的应予以修正并在评标报告中作出说明。除此之外，评标基准价在整个评标期间保持不变，不随任何因素发生变化。</w:t>
            </w:r>
          </w:p>
          <w:p w14:paraId="559E2561">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3.报价得分计算规则</w:t>
            </w:r>
          </w:p>
          <w:p w14:paraId="6DC8F737">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（1）投标人评标价=评标基准价时，得满分40分；</w:t>
            </w:r>
          </w:p>
          <w:p w14:paraId="4B4C69FA">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（2）投标人评标价＞评标基准价时，得分=40-[（投标人评标价-评标基准价）/评标基准价]*100*0.5；</w:t>
            </w:r>
          </w:p>
          <w:p w14:paraId="5F91B18A">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（3）投标人评标价＜评标基准价时，得分=40-[（评标基准价-投标人评标价）/评标基准价]*100*0.3。</w:t>
            </w:r>
          </w:p>
          <w:p w14:paraId="59268B93">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当报价得分为负数时，均按0分计算；</w:t>
            </w:r>
          </w:p>
          <w:p w14:paraId="0477D69E">
            <w:pPr>
              <w:pStyle w:val="2"/>
              <w:keepNext w:val="0"/>
              <w:keepLines w:val="0"/>
              <w:suppressLineNumbers w:val="0"/>
              <w:spacing w:before="0" w:beforeAutospacing="0" w:afterAutospacing="0"/>
              <w:ind w:left="0" w:right="0"/>
              <w:jc w:val="left"/>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bidi="ar-SA"/>
              </w:rPr>
              <w:t>投标人评标价得分保留小数点后两位，小数点后第三位“四舍五入”，即为*.**。</w:t>
            </w:r>
          </w:p>
        </w:tc>
        <w:tc>
          <w:tcPr>
            <w:tcW w:w="663" w:type="dxa"/>
            <w:tcBorders>
              <w:top w:val="nil"/>
              <w:left w:val="nil"/>
              <w:bottom w:val="single" w:color="auto" w:sz="8" w:space="0"/>
              <w:right w:val="single" w:color="auto" w:sz="8" w:space="0"/>
            </w:tcBorders>
            <w:shd w:val="clear" w:color="auto" w:fill="auto"/>
            <w:vAlign w:val="center"/>
          </w:tcPr>
          <w:p w14:paraId="44B23646">
            <w:pPr>
              <w:keepNext w:val="0"/>
              <w:keepLines w:val="0"/>
              <w:pageBreakBefore w:val="0"/>
              <w:widowControl/>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40</w:t>
            </w:r>
          </w:p>
        </w:tc>
      </w:tr>
    </w:tbl>
    <w:p w14:paraId="14EF9D8F">
      <w:pPr>
        <w:keepNext w:val="0"/>
        <w:keepLines w:val="0"/>
        <w:pageBreakBefore w:val="0"/>
        <w:overflowPunct/>
        <w:bidi w:val="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br w:type="page"/>
      </w:r>
    </w:p>
    <w:p w14:paraId="795E0EAD">
      <w:pPr>
        <w:pStyle w:val="20"/>
        <w:keepNext w:val="0"/>
        <w:keepLines w:val="0"/>
        <w:pageBreakBefore w:val="0"/>
        <w:overflowPunct/>
        <w:bidi w:val="0"/>
        <w:spacing w:line="360" w:lineRule="auto"/>
        <w:ind w:firstLine="0" w:firstLineChars="0"/>
        <w:jc w:val="center"/>
        <w:outlineLvl w:val="0"/>
        <w:rPr>
          <w:rFonts w:hint="eastAsia" w:ascii="仿宋_GB2312" w:hAnsi="仿宋_GB2312" w:eastAsia="仿宋_GB2312" w:cs="仿宋_GB2312"/>
          <w:b/>
          <w:bCs/>
          <w:color w:val="auto"/>
          <w:sz w:val="28"/>
          <w:szCs w:val="28"/>
          <w:highlight w:val="none"/>
        </w:rPr>
      </w:pPr>
      <w:bookmarkStart w:id="501" w:name="_Toc17648"/>
      <w:bookmarkStart w:id="502" w:name="_Toc15844"/>
      <w:bookmarkStart w:id="503" w:name="_Toc7940"/>
      <w:bookmarkStart w:id="504" w:name="_Toc18376"/>
      <w:bookmarkStart w:id="505" w:name="_Toc29575"/>
      <w:bookmarkStart w:id="506" w:name="_Toc15544"/>
      <w:bookmarkStart w:id="507" w:name="_Toc16656"/>
      <w:bookmarkStart w:id="508" w:name="_Toc12882"/>
      <w:bookmarkStart w:id="509" w:name="_Toc30153"/>
      <w:bookmarkStart w:id="510" w:name="_Toc22902"/>
      <w:bookmarkStart w:id="511" w:name="_Toc15057"/>
      <w:bookmarkStart w:id="512" w:name="_Toc16664"/>
      <w:bookmarkStart w:id="513" w:name="_Toc30301"/>
      <w:bookmarkStart w:id="514" w:name="_Toc12803"/>
      <w:bookmarkStart w:id="515" w:name="_Toc32025"/>
      <w:bookmarkStart w:id="516" w:name="_Toc5119"/>
      <w:bookmarkStart w:id="517" w:name="_Toc29741"/>
      <w:bookmarkStart w:id="518" w:name="_Toc13759"/>
      <w:bookmarkStart w:id="519" w:name="_Toc24752"/>
      <w:bookmarkStart w:id="520" w:name="_Toc27298"/>
      <w:bookmarkStart w:id="521" w:name="_Toc24678"/>
      <w:bookmarkStart w:id="522" w:name="_Toc31351"/>
      <w:bookmarkStart w:id="523" w:name="_Toc2952"/>
      <w:bookmarkStart w:id="524" w:name="_Toc16960"/>
      <w:r>
        <w:rPr>
          <w:rFonts w:hint="eastAsia" w:ascii="仿宋_GB2312" w:hAnsi="仿宋_GB2312" w:eastAsia="仿宋_GB2312" w:cs="仿宋_GB2312"/>
          <w:b/>
          <w:bCs/>
          <w:color w:val="auto"/>
          <w:sz w:val="28"/>
          <w:szCs w:val="28"/>
          <w:highlight w:val="none"/>
          <w:lang w:val="en-US" w:eastAsia="zh-CN"/>
        </w:rPr>
        <w:t xml:space="preserve">第四部分 </w:t>
      </w:r>
      <w:r>
        <w:rPr>
          <w:rFonts w:hint="eastAsia" w:ascii="仿宋_GB2312" w:hAnsi="仿宋_GB2312" w:eastAsia="仿宋_GB2312" w:cs="仿宋_GB2312"/>
          <w:b/>
          <w:bCs/>
          <w:color w:val="auto"/>
          <w:sz w:val="28"/>
          <w:szCs w:val="28"/>
          <w:highlight w:val="none"/>
        </w:rPr>
        <w:t>投标文件</w:t>
      </w:r>
      <w:r>
        <w:rPr>
          <w:rFonts w:hint="eastAsia" w:ascii="仿宋_GB2312" w:hAnsi="仿宋_GB2312" w:eastAsia="仿宋_GB2312" w:cs="仿宋_GB2312"/>
          <w:b/>
          <w:bCs/>
          <w:color w:val="auto"/>
          <w:sz w:val="28"/>
          <w:szCs w:val="28"/>
          <w:highlight w:val="none"/>
          <w:lang w:val="en-US" w:eastAsia="zh-CN"/>
        </w:rPr>
        <w:t>格式</w:t>
      </w:r>
      <w:r>
        <w:rPr>
          <w:rFonts w:hint="eastAsia" w:ascii="仿宋_GB2312" w:hAnsi="仿宋_GB2312" w:eastAsia="仿宋_GB2312" w:cs="仿宋_GB2312"/>
          <w:b/>
          <w:bCs/>
          <w:color w:val="auto"/>
          <w:sz w:val="28"/>
          <w:szCs w:val="28"/>
          <w:highlight w:val="none"/>
        </w:rPr>
        <w:t>装订顺序</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38CA7905">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outlineLvl w:val="9"/>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投标人提供的所有材料必须真实、有效、完整，内容与申报事项保持一致，且合规可核验；严禁伪造、篡改、变造各类材料，凡弄虚作假的，一经查实将直接取消其投标资格、中选资格，一律按废标处理。</w:t>
      </w:r>
    </w:p>
    <w:p w14:paraId="37F42B5D">
      <w:pPr>
        <w:pStyle w:val="20"/>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1"/>
        <w:rPr>
          <w:rFonts w:hint="default" w:ascii="仿宋_GB2312" w:hAnsi="仿宋_GB2312" w:eastAsia="仿宋_GB2312" w:cs="仿宋_GB2312"/>
          <w:b w:val="0"/>
          <w:bCs w:val="0"/>
          <w:color w:val="auto"/>
          <w:sz w:val="28"/>
          <w:szCs w:val="28"/>
          <w:highlight w:val="none"/>
          <w:lang w:val="en-US" w:eastAsia="zh-CN"/>
        </w:rPr>
      </w:pPr>
      <w:bookmarkStart w:id="525" w:name="_Toc10302"/>
      <w:bookmarkStart w:id="526" w:name="_Toc31697"/>
      <w:bookmarkStart w:id="527" w:name="_Toc20258"/>
      <w:bookmarkStart w:id="528" w:name="_Toc30478"/>
      <w:bookmarkStart w:id="529" w:name="_Toc24397"/>
      <w:bookmarkStart w:id="530" w:name="_Toc14400"/>
      <w:bookmarkStart w:id="531" w:name="_Toc7983"/>
      <w:bookmarkStart w:id="532" w:name="_Toc4861"/>
      <w:bookmarkStart w:id="533" w:name="_Toc24529"/>
      <w:bookmarkStart w:id="534" w:name="_Toc27639"/>
      <w:bookmarkStart w:id="535" w:name="_Toc30680"/>
      <w:bookmarkStart w:id="536" w:name="_Toc17341"/>
      <w:bookmarkStart w:id="537" w:name="_Toc8047"/>
      <w:bookmarkStart w:id="538" w:name="_Toc19273"/>
      <w:bookmarkStart w:id="539" w:name="_Toc13386"/>
      <w:bookmarkStart w:id="540" w:name="_Toc11134"/>
      <w:bookmarkStart w:id="541" w:name="_Toc28276"/>
      <w:bookmarkStart w:id="542" w:name="_Toc29010"/>
      <w:bookmarkStart w:id="543" w:name="_Toc3031"/>
      <w:bookmarkStart w:id="544" w:name="_Toc1027"/>
      <w:bookmarkStart w:id="545" w:name="_Toc6343"/>
      <w:bookmarkStart w:id="546" w:name="_Toc31525"/>
      <w:bookmarkStart w:id="547" w:name="_Toc12039"/>
      <w:bookmarkStart w:id="548" w:name="_Toc14646"/>
      <w:r>
        <w:rPr>
          <w:rFonts w:hint="eastAsia" w:ascii="仿宋_GB2312" w:hAnsi="仿宋_GB2312" w:eastAsia="仿宋_GB2312" w:cs="仿宋_GB2312"/>
          <w:b w:val="0"/>
          <w:bCs w:val="0"/>
          <w:color w:val="auto"/>
          <w:sz w:val="28"/>
          <w:szCs w:val="28"/>
          <w:highlight w:val="none"/>
          <w:lang w:val="en-US" w:eastAsia="zh-CN"/>
        </w:rPr>
        <w:t>一、投标人企业资</w:t>
      </w:r>
      <w:r>
        <w:rPr>
          <w:rFonts w:hint="eastAsia" w:ascii="仿宋_GB2312" w:hAnsi="仿宋_GB2312" w:eastAsia="仿宋_GB2312" w:cs="仿宋_GB2312"/>
          <w:color w:val="auto"/>
          <w:sz w:val="28"/>
          <w:szCs w:val="28"/>
          <w:highlight w:val="none"/>
        </w:rPr>
        <w:t>信</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6CB3BA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1.投标人企业简介</w:t>
      </w:r>
    </w:p>
    <w:p w14:paraId="21D082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提供有效的营业执照复印件并加盖单位公章；</w:t>
      </w:r>
    </w:p>
    <w:p w14:paraId="4436BF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outlineLvl w:val="9"/>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2.投标人信用证明</w:t>
      </w:r>
    </w:p>
    <w:p w14:paraId="5B7530B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投标人将</w:t>
      </w:r>
      <w:r>
        <w:rPr>
          <w:rFonts w:hint="eastAsia" w:ascii="仿宋_GB2312" w:hAnsi="仿宋_GB2312" w:eastAsia="仿宋_GB2312" w:cs="仿宋_GB2312"/>
          <w:color w:val="auto"/>
          <w:sz w:val="28"/>
          <w:szCs w:val="28"/>
          <w:highlight w:val="none"/>
        </w:rPr>
        <w:t>“信用中国”及</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国家企业信用信息公示系统</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网站</w:t>
      </w:r>
      <w:r>
        <w:rPr>
          <w:rFonts w:hint="eastAsia" w:ascii="仿宋_GB2312" w:hAnsi="仿宋_GB2312" w:eastAsia="仿宋_GB2312" w:cs="仿宋_GB2312"/>
          <w:color w:val="auto"/>
          <w:sz w:val="28"/>
          <w:szCs w:val="28"/>
          <w:highlight w:val="none"/>
        </w:rPr>
        <w:t>查询的信用记录截图打印并加盖单位公章。必须未被招投标监督管理部门限制投标（禁止期内），提供承诺书并加盖单位公章，格式自拟</w:t>
      </w:r>
      <w:r>
        <w:rPr>
          <w:rFonts w:hint="eastAsia" w:ascii="仿宋_GB2312" w:hAnsi="仿宋_GB2312" w:eastAsia="仿宋_GB2312" w:cs="仿宋_GB2312"/>
          <w:color w:val="auto"/>
          <w:sz w:val="28"/>
          <w:szCs w:val="28"/>
          <w:highlight w:val="none"/>
          <w:lang w:eastAsia="zh-CN"/>
        </w:rPr>
        <w:t>；</w:t>
      </w:r>
    </w:p>
    <w:p w14:paraId="504D396D">
      <w:pPr>
        <w:pStyle w:val="2"/>
        <w:outlineLvl w:val="1"/>
        <w:rPr>
          <w:rFonts w:hint="eastAsia" w:ascii="仿宋_GB2312" w:hAnsi="仿宋_GB2312" w:eastAsia="仿宋_GB2312" w:cs="仿宋_GB2312"/>
          <w:color w:val="auto"/>
          <w:highlight w:val="none"/>
          <w:lang w:val="en-US" w:eastAsia="zh-CN"/>
        </w:rPr>
      </w:pPr>
      <w:bookmarkStart w:id="549" w:name="_Toc30834"/>
      <w:bookmarkStart w:id="550" w:name="_Toc20706"/>
      <w:bookmarkStart w:id="551" w:name="_Toc25997"/>
      <w:bookmarkStart w:id="552" w:name="_Toc27819"/>
      <w:bookmarkStart w:id="553" w:name="_Toc2750"/>
      <w:bookmarkStart w:id="554" w:name="_Toc16665"/>
      <w:bookmarkStart w:id="555" w:name="_Toc30256"/>
      <w:bookmarkStart w:id="556" w:name="_Toc21409"/>
      <w:bookmarkStart w:id="557" w:name="_Toc2779"/>
      <w:bookmarkStart w:id="558" w:name="_Toc23632"/>
      <w:bookmarkStart w:id="559" w:name="_Toc25582"/>
      <w:bookmarkStart w:id="560" w:name="_Toc132"/>
      <w:bookmarkStart w:id="561" w:name="_Toc11771"/>
      <w:bookmarkStart w:id="562" w:name="_Toc22560"/>
      <w:bookmarkStart w:id="563" w:name="_Toc31780"/>
      <w:bookmarkStart w:id="564" w:name="_Toc23263"/>
      <w:bookmarkStart w:id="565" w:name="_Toc19548"/>
      <w:bookmarkStart w:id="566" w:name="_Toc27818"/>
      <w:bookmarkStart w:id="567" w:name="_Toc22071"/>
      <w:bookmarkStart w:id="568" w:name="_Toc18341"/>
      <w:bookmarkStart w:id="569" w:name="_Toc25946"/>
      <w:bookmarkStart w:id="570" w:name="_Toc30343"/>
      <w:bookmarkStart w:id="571" w:name="_Toc17622"/>
      <w:bookmarkStart w:id="572" w:name="_Toc3183"/>
      <w:r>
        <w:rPr>
          <w:rFonts w:hint="eastAsia" w:ascii="仿宋_GB2312" w:hAnsi="仿宋_GB2312" w:eastAsia="仿宋_GB2312" w:cs="仿宋_GB2312"/>
          <w:color w:val="auto"/>
          <w:sz w:val="28"/>
          <w:szCs w:val="28"/>
          <w:highlight w:val="none"/>
          <w:lang w:val="en-US" w:eastAsia="zh-CN"/>
        </w:rPr>
        <w:t>二、投标人报价、</w:t>
      </w:r>
      <w:r>
        <w:rPr>
          <w:rFonts w:hint="eastAsia" w:ascii="仿宋_GB2312" w:hAnsi="仿宋_GB2312" w:eastAsia="仿宋_GB2312" w:cs="仿宋_GB2312"/>
          <w:b w:val="0"/>
          <w:bCs w:val="0"/>
          <w:color w:val="auto"/>
          <w:sz w:val="28"/>
          <w:szCs w:val="28"/>
          <w:highlight w:val="none"/>
          <w:lang w:val="en-US" w:eastAsia="zh-CN"/>
        </w:rPr>
        <w:t>技术参数及要求、</w:t>
      </w:r>
      <w:r>
        <w:rPr>
          <w:rFonts w:hint="eastAsia" w:ascii="仿宋_GB2312" w:hAnsi="仿宋_GB2312" w:eastAsia="仿宋_GB2312" w:cs="仿宋_GB2312"/>
          <w:color w:val="auto"/>
          <w:sz w:val="28"/>
          <w:szCs w:val="28"/>
          <w:highlight w:val="none"/>
          <w:lang w:val="en-US" w:eastAsia="zh-CN"/>
        </w:rPr>
        <w:t>委托书、承诺书等</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14:paraId="76B53D9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outlineLvl w:val="9"/>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lang w:val="en-US" w:eastAsia="zh-CN"/>
        </w:rPr>
        <w:t>投标人需提供</w:t>
      </w:r>
      <w:r>
        <w:rPr>
          <w:rFonts w:hint="eastAsia" w:ascii="仿宋_GB2312" w:hAnsi="仿宋_GB2312" w:eastAsia="仿宋_GB2312" w:cs="仿宋_GB2312"/>
          <w:b w:val="0"/>
          <w:bCs w:val="0"/>
          <w:color w:val="auto"/>
          <w:sz w:val="28"/>
          <w:szCs w:val="28"/>
          <w:highlight w:val="none"/>
        </w:rPr>
        <w:t>资格审查资料、采购响应函、报价表、</w:t>
      </w:r>
      <w:r>
        <w:rPr>
          <w:rFonts w:hint="eastAsia" w:ascii="仿宋_GB2312" w:hAnsi="仿宋_GB2312" w:eastAsia="仿宋_GB2312" w:cs="仿宋_GB2312"/>
          <w:b w:val="0"/>
          <w:bCs w:val="0"/>
          <w:color w:val="auto"/>
          <w:sz w:val="28"/>
          <w:szCs w:val="28"/>
          <w:highlight w:val="none"/>
          <w:lang w:val="en-US" w:eastAsia="zh-CN"/>
        </w:rPr>
        <w:t>技术参数及要求响应偏离表</w:t>
      </w:r>
      <w:r>
        <w:rPr>
          <w:rFonts w:hint="eastAsia" w:ascii="仿宋_GB2312" w:hAnsi="仿宋_GB2312" w:eastAsia="仿宋_GB2312" w:cs="仿宋_GB2312"/>
          <w:b w:val="0"/>
          <w:bCs w:val="0"/>
          <w:color w:val="auto"/>
          <w:sz w:val="28"/>
          <w:szCs w:val="28"/>
          <w:highlight w:val="none"/>
        </w:rPr>
        <w:t>、法定代表人身份证明（单位负责人）、授权委托书（代理人身份证明）、投标承诺书、投标人信用承诺、供应商廉洁承诺书</w:t>
      </w:r>
      <w:r>
        <w:rPr>
          <w:rFonts w:hint="eastAsia" w:ascii="仿宋_GB2312" w:hAnsi="仿宋_GB2312" w:eastAsia="仿宋_GB2312" w:cs="仿宋_GB2312"/>
          <w:b w:val="0"/>
          <w:bCs w:val="0"/>
          <w:color w:val="auto"/>
          <w:sz w:val="28"/>
          <w:szCs w:val="28"/>
          <w:highlight w:val="none"/>
          <w:lang w:eastAsia="zh-CN"/>
        </w:rPr>
        <w:t>、</w:t>
      </w:r>
      <w:r>
        <w:rPr>
          <w:rFonts w:hint="eastAsia" w:ascii="仿宋_GB2312" w:hAnsi="仿宋_GB2312" w:eastAsia="仿宋_GB2312" w:cs="仿宋_GB2312"/>
          <w:b w:val="0"/>
          <w:bCs w:val="0"/>
          <w:color w:val="auto"/>
          <w:sz w:val="28"/>
          <w:szCs w:val="28"/>
          <w:highlight w:val="none"/>
          <w:lang w:val="en-US" w:eastAsia="zh-CN"/>
        </w:rPr>
        <w:t>评审指标对应材料等</w:t>
      </w:r>
      <w:r>
        <w:rPr>
          <w:rFonts w:hint="eastAsia" w:ascii="仿宋_GB2312" w:hAnsi="仿宋_GB2312" w:eastAsia="仿宋_GB2312" w:cs="仿宋_GB2312"/>
          <w:b w:val="0"/>
          <w:bCs w:val="0"/>
          <w:color w:val="auto"/>
          <w:sz w:val="28"/>
          <w:szCs w:val="28"/>
          <w:highlight w:val="none"/>
        </w:rPr>
        <w:t>，</w:t>
      </w:r>
      <w:r>
        <w:rPr>
          <w:rFonts w:hint="eastAsia" w:ascii="仿宋_GB2312" w:hAnsi="仿宋_GB2312" w:eastAsia="仿宋_GB2312" w:cs="仿宋_GB2312"/>
          <w:b w:val="0"/>
          <w:bCs w:val="0"/>
          <w:color w:val="auto"/>
          <w:sz w:val="28"/>
          <w:szCs w:val="28"/>
          <w:highlight w:val="none"/>
          <w:lang w:val="en-US" w:eastAsia="zh-CN"/>
        </w:rPr>
        <w:t>并</w:t>
      </w:r>
      <w:r>
        <w:rPr>
          <w:rFonts w:hint="eastAsia" w:ascii="仿宋_GB2312" w:hAnsi="仿宋_GB2312" w:eastAsia="仿宋_GB2312" w:cs="仿宋_GB2312"/>
          <w:b w:val="0"/>
          <w:bCs w:val="0"/>
          <w:color w:val="auto"/>
          <w:sz w:val="28"/>
          <w:szCs w:val="28"/>
          <w:highlight w:val="none"/>
        </w:rPr>
        <w:t>加盖单位公章；</w:t>
      </w:r>
    </w:p>
    <w:p w14:paraId="327013F3">
      <w:pPr>
        <w:rPr>
          <w:rFonts w:hint="eastAsia" w:ascii="仿宋_GB2312" w:hAnsi="仿宋_GB2312" w:eastAsia="仿宋_GB2312" w:cs="仿宋_GB2312"/>
          <w:b w:val="0"/>
          <w:bCs w:val="0"/>
          <w:color w:val="auto"/>
          <w:sz w:val="28"/>
          <w:szCs w:val="28"/>
          <w:highlight w:val="none"/>
        </w:rPr>
      </w:pPr>
      <w:r>
        <w:rPr>
          <w:rFonts w:hint="eastAsia" w:ascii="仿宋_GB2312" w:hAnsi="仿宋_GB2312" w:eastAsia="仿宋_GB2312" w:cs="仿宋_GB2312"/>
          <w:b w:val="0"/>
          <w:bCs w:val="0"/>
          <w:color w:val="auto"/>
          <w:sz w:val="28"/>
          <w:szCs w:val="28"/>
          <w:highlight w:val="none"/>
        </w:rPr>
        <w:br w:type="page"/>
      </w:r>
    </w:p>
    <w:p w14:paraId="260B761A">
      <w:pPr>
        <w:pStyle w:val="20"/>
        <w:keepNext w:val="0"/>
        <w:keepLines w:val="0"/>
        <w:pageBreakBefore w:val="0"/>
        <w:overflowPunct/>
        <w:bidi w:val="0"/>
        <w:spacing w:line="360" w:lineRule="auto"/>
        <w:ind w:firstLine="0" w:firstLineChars="0"/>
        <w:jc w:val="center"/>
        <w:outlineLvl w:val="0"/>
        <w:rPr>
          <w:rFonts w:hint="eastAsia" w:ascii="仿宋_GB2312" w:hAnsi="仿宋_GB2312" w:eastAsia="仿宋_GB2312" w:cs="仿宋_GB2312"/>
          <w:b/>
          <w:bCs/>
          <w:color w:val="auto"/>
          <w:sz w:val="28"/>
          <w:szCs w:val="28"/>
          <w:highlight w:val="none"/>
          <w:lang w:val="en-US" w:eastAsia="zh-CN"/>
        </w:rPr>
      </w:pPr>
      <w:bookmarkStart w:id="573" w:name="_Toc4981"/>
      <w:bookmarkStart w:id="574" w:name="_Toc19717"/>
      <w:bookmarkStart w:id="575" w:name="_Toc16831"/>
      <w:bookmarkStart w:id="576" w:name="_Toc9327"/>
      <w:bookmarkStart w:id="577" w:name="_Toc6849"/>
      <w:bookmarkStart w:id="578" w:name="_Toc24898"/>
      <w:bookmarkStart w:id="579" w:name="_Toc15190"/>
      <w:bookmarkStart w:id="580" w:name="_Toc12086"/>
      <w:bookmarkStart w:id="581" w:name="_Toc3433"/>
      <w:bookmarkStart w:id="582" w:name="_Toc23669"/>
      <w:bookmarkStart w:id="583" w:name="_Toc27195"/>
      <w:bookmarkStart w:id="584" w:name="_Toc25496"/>
      <w:bookmarkStart w:id="585" w:name="_Toc23896"/>
      <w:bookmarkStart w:id="586" w:name="_Toc8402"/>
      <w:bookmarkStart w:id="587" w:name="_Toc19923"/>
      <w:bookmarkStart w:id="588" w:name="_Toc31198"/>
      <w:bookmarkStart w:id="589" w:name="_Toc11116"/>
      <w:bookmarkStart w:id="590" w:name="_Toc21262"/>
      <w:bookmarkStart w:id="591" w:name="_Toc1087"/>
      <w:bookmarkStart w:id="592" w:name="_Toc6450"/>
      <w:bookmarkStart w:id="593" w:name="_Toc29470"/>
      <w:bookmarkStart w:id="594" w:name="_Toc26827"/>
      <w:bookmarkStart w:id="595" w:name="_Toc20502"/>
      <w:bookmarkStart w:id="596" w:name="_Toc1996"/>
      <w:r>
        <w:rPr>
          <w:rFonts w:hint="eastAsia" w:ascii="仿宋_GB2312" w:hAnsi="仿宋_GB2312" w:eastAsia="仿宋_GB2312" w:cs="仿宋_GB2312"/>
          <w:b/>
          <w:bCs/>
          <w:color w:val="auto"/>
          <w:sz w:val="28"/>
          <w:szCs w:val="28"/>
          <w:highlight w:val="none"/>
          <w:lang w:val="en-US" w:eastAsia="zh-CN"/>
        </w:rPr>
        <w:t>第五部分 相关文件格式</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0F38171D">
      <w:pPr>
        <w:keepNext w:val="0"/>
        <w:keepLines w:val="0"/>
        <w:pageBreakBefore w:val="0"/>
        <w:overflowPunct/>
        <w:bidi w:val="0"/>
        <w:spacing w:after="0" w:line="360" w:lineRule="auto"/>
        <w:ind w:firstLine="560" w:firstLineChars="200"/>
        <w:jc w:val="center"/>
        <w:rPr>
          <w:rFonts w:hint="eastAsia" w:ascii="仿宋_GB2312" w:hAnsi="仿宋_GB2312" w:eastAsia="仿宋_GB2312" w:cs="仿宋_GB2312"/>
          <w:color w:val="auto"/>
          <w:sz w:val="28"/>
          <w:szCs w:val="28"/>
          <w:highlight w:val="none"/>
          <w:lang w:val="en-US" w:eastAsia="zh-CN"/>
        </w:rPr>
      </w:pPr>
    </w:p>
    <w:p w14:paraId="4A448DE4">
      <w:pPr>
        <w:keepNext w:val="0"/>
        <w:keepLines w:val="0"/>
        <w:pageBreakBefore w:val="0"/>
        <w:overflowPunct/>
        <w:bidi w:val="0"/>
        <w:spacing w:after="0" w:line="360" w:lineRule="auto"/>
        <w:ind w:firstLine="560" w:firstLineChars="200"/>
        <w:jc w:val="center"/>
        <w:rPr>
          <w:rFonts w:hint="eastAsia" w:ascii="仿宋_GB2312" w:hAnsi="仿宋_GB2312" w:eastAsia="仿宋_GB2312" w:cs="仿宋_GB2312"/>
          <w:color w:val="auto"/>
          <w:sz w:val="28"/>
          <w:szCs w:val="28"/>
          <w:highlight w:val="none"/>
          <w:lang w:val="en-US" w:eastAsia="zh-CN"/>
        </w:rPr>
      </w:pPr>
    </w:p>
    <w:p w14:paraId="48E54276">
      <w:pPr>
        <w:keepNext w:val="0"/>
        <w:keepLines w:val="0"/>
        <w:pageBreakBefore w:val="0"/>
        <w:overflowPunct/>
        <w:bidi w:val="0"/>
        <w:spacing w:after="0" w:line="360" w:lineRule="auto"/>
        <w:ind w:firstLine="560" w:firstLineChars="200"/>
        <w:jc w:val="center"/>
        <w:rPr>
          <w:rFonts w:hint="eastAsia" w:ascii="仿宋_GB2312" w:hAnsi="仿宋_GB2312" w:eastAsia="仿宋_GB2312" w:cs="仿宋_GB2312"/>
          <w:color w:val="auto"/>
          <w:sz w:val="28"/>
          <w:szCs w:val="28"/>
          <w:highlight w:val="none"/>
          <w:lang w:val="en-US" w:eastAsia="zh-CN"/>
        </w:rPr>
      </w:pPr>
    </w:p>
    <w:p w14:paraId="56E2C69C">
      <w:pPr>
        <w:keepNext w:val="0"/>
        <w:keepLines w:val="0"/>
        <w:pageBreakBefore w:val="0"/>
        <w:overflowPunct/>
        <w:bidi w:val="0"/>
        <w:spacing w:after="0" w:line="360" w:lineRule="auto"/>
        <w:ind w:firstLine="560" w:firstLineChars="200"/>
        <w:jc w:val="center"/>
        <w:rPr>
          <w:rFonts w:hint="eastAsia" w:ascii="仿宋_GB2312" w:hAnsi="仿宋_GB2312" w:eastAsia="仿宋_GB2312" w:cs="仿宋_GB2312"/>
          <w:color w:val="auto"/>
          <w:sz w:val="28"/>
          <w:szCs w:val="28"/>
          <w:highlight w:val="none"/>
          <w:lang w:val="en-US" w:eastAsia="zh-CN"/>
        </w:rPr>
      </w:pPr>
    </w:p>
    <w:p w14:paraId="0FC77AC5">
      <w:pPr>
        <w:keepNext w:val="0"/>
        <w:keepLines w:val="0"/>
        <w:pageBreakBefore w:val="0"/>
        <w:overflowPunct/>
        <w:bidi w:val="0"/>
        <w:spacing w:after="0" w:line="360" w:lineRule="auto"/>
        <w:ind w:firstLine="560" w:firstLineChars="20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安徽新安银行办公电脑采购项目</w:t>
      </w:r>
    </w:p>
    <w:p w14:paraId="132F1DA8">
      <w:pPr>
        <w:keepNext w:val="0"/>
        <w:keepLines w:val="0"/>
        <w:pageBreakBefore w:val="0"/>
        <w:overflowPunct/>
        <w:bidi w:val="0"/>
        <w:spacing w:line="360" w:lineRule="auto"/>
        <w:jc w:val="both"/>
        <w:rPr>
          <w:rFonts w:hint="eastAsia" w:ascii="仿宋_GB2312" w:hAnsi="仿宋_GB2312" w:eastAsia="仿宋_GB2312" w:cs="仿宋_GB2312"/>
          <w:color w:val="auto"/>
          <w:sz w:val="28"/>
          <w:szCs w:val="28"/>
          <w:highlight w:val="none"/>
          <w:u w:val="none"/>
          <w:lang w:eastAsia="zh-CN"/>
        </w:rPr>
      </w:pPr>
    </w:p>
    <w:p w14:paraId="62084C9C">
      <w:pPr>
        <w:keepNext w:val="0"/>
        <w:keepLines w:val="0"/>
        <w:pageBreakBefore w:val="0"/>
        <w:overflowPunct/>
        <w:bidi w:val="0"/>
        <w:spacing w:line="360" w:lineRule="auto"/>
        <w:jc w:val="both"/>
        <w:rPr>
          <w:rFonts w:hint="eastAsia" w:ascii="仿宋_GB2312" w:hAnsi="仿宋_GB2312" w:eastAsia="仿宋_GB2312" w:cs="仿宋_GB2312"/>
          <w:color w:val="auto"/>
          <w:sz w:val="28"/>
          <w:szCs w:val="28"/>
          <w:highlight w:val="none"/>
          <w:u w:val="none"/>
          <w:lang w:eastAsia="zh-CN"/>
        </w:rPr>
      </w:pPr>
    </w:p>
    <w:p w14:paraId="70845D83">
      <w:pPr>
        <w:keepNext w:val="0"/>
        <w:keepLines w:val="0"/>
        <w:pageBreakBefore w:val="0"/>
        <w:overflowPunct/>
        <w:bidi w:val="0"/>
        <w:spacing w:line="360" w:lineRule="auto"/>
        <w:jc w:val="both"/>
        <w:rPr>
          <w:rFonts w:hint="eastAsia" w:ascii="仿宋_GB2312" w:hAnsi="仿宋_GB2312" w:eastAsia="仿宋_GB2312" w:cs="仿宋_GB2312"/>
          <w:color w:val="auto"/>
          <w:sz w:val="28"/>
          <w:szCs w:val="28"/>
          <w:highlight w:val="none"/>
          <w:u w:val="none"/>
          <w:lang w:eastAsia="zh-CN"/>
        </w:rPr>
      </w:pPr>
    </w:p>
    <w:p w14:paraId="6751BB64">
      <w:pPr>
        <w:keepNext w:val="0"/>
        <w:keepLines w:val="0"/>
        <w:pageBreakBefore w:val="0"/>
        <w:overflowPunct/>
        <w:bidi w:val="0"/>
        <w:spacing w:after="0" w:line="360" w:lineRule="auto"/>
        <w:ind w:firstLine="560" w:firstLineChars="20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投标文件</w:t>
      </w:r>
    </w:p>
    <w:p w14:paraId="54AA8E74">
      <w:pPr>
        <w:keepNext w:val="0"/>
        <w:keepLines w:val="0"/>
        <w:pageBreakBefore w:val="0"/>
        <w:overflowPunct/>
        <w:bidi w:val="0"/>
        <w:spacing w:line="360" w:lineRule="auto"/>
        <w:jc w:val="both"/>
        <w:rPr>
          <w:rFonts w:hint="eastAsia" w:ascii="仿宋_GB2312" w:hAnsi="仿宋_GB2312" w:eastAsia="仿宋_GB2312" w:cs="仿宋_GB2312"/>
          <w:color w:val="auto"/>
          <w:sz w:val="28"/>
          <w:szCs w:val="28"/>
          <w:highlight w:val="none"/>
          <w:u w:val="none"/>
          <w:lang w:eastAsia="zh-CN"/>
        </w:rPr>
      </w:pPr>
    </w:p>
    <w:p w14:paraId="6D54058F">
      <w:pPr>
        <w:keepNext w:val="0"/>
        <w:keepLines w:val="0"/>
        <w:pageBreakBefore w:val="0"/>
        <w:overflowPunct/>
        <w:bidi w:val="0"/>
        <w:spacing w:line="360" w:lineRule="auto"/>
        <w:jc w:val="both"/>
        <w:rPr>
          <w:rFonts w:hint="eastAsia" w:ascii="仿宋_GB2312" w:hAnsi="仿宋_GB2312" w:eastAsia="仿宋_GB2312" w:cs="仿宋_GB2312"/>
          <w:color w:val="auto"/>
          <w:sz w:val="28"/>
          <w:szCs w:val="28"/>
          <w:highlight w:val="none"/>
          <w:u w:val="none"/>
          <w:lang w:eastAsia="zh-CN"/>
        </w:rPr>
      </w:pPr>
    </w:p>
    <w:p w14:paraId="5CC2B855">
      <w:pPr>
        <w:keepNext w:val="0"/>
        <w:keepLines w:val="0"/>
        <w:pageBreakBefore w:val="0"/>
        <w:overflowPunct/>
        <w:bidi w:val="0"/>
        <w:spacing w:line="360" w:lineRule="auto"/>
        <w:jc w:val="both"/>
        <w:rPr>
          <w:rFonts w:hint="eastAsia" w:ascii="仿宋_GB2312" w:hAnsi="仿宋_GB2312" w:eastAsia="仿宋_GB2312" w:cs="仿宋_GB2312"/>
          <w:color w:val="auto"/>
          <w:sz w:val="28"/>
          <w:szCs w:val="28"/>
          <w:highlight w:val="none"/>
          <w:u w:val="none"/>
          <w:lang w:eastAsia="zh-CN"/>
        </w:rPr>
      </w:pPr>
    </w:p>
    <w:p w14:paraId="65AB95AA">
      <w:pPr>
        <w:keepNext w:val="0"/>
        <w:keepLines w:val="0"/>
        <w:pageBreakBefore w:val="0"/>
        <w:overflowPunct/>
        <w:bidi w:val="0"/>
        <w:spacing w:line="360" w:lineRule="auto"/>
        <w:jc w:val="both"/>
        <w:rPr>
          <w:rFonts w:hint="eastAsia" w:ascii="仿宋_GB2312" w:hAnsi="仿宋_GB2312" w:eastAsia="仿宋_GB2312" w:cs="仿宋_GB2312"/>
          <w:color w:val="auto"/>
          <w:sz w:val="28"/>
          <w:szCs w:val="28"/>
          <w:highlight w:val="none"/>
          <w:u w:val="none"/>
          <w:lang w:eastAsia="zh-CN"/>
        </w:rPr>
      </w:pPr>
    </w:p>
    <w:p w14:paraId="60D2154D">
      <w:pPr>
        <w:keepNext w:val="0"/>
        <w:keepLines w:val="0"/>
        <w:pageBreakBefore w:val="0"/>
        <w:overflowPunct/>
        <w:bidi w:val="0"/>
        <w:spacing w:after="0" w:line="360" w:lineRule="auto"/>
        <w:ind w:firstLine="560" w:firstLineChars="20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投标人：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（盖单位公章）</w:t>
      </w:r>
    </w:p>
    <w:p w14:paraId="503527FC">
      <w:pPr>
        <w:keepNext w:val="0"/>
        <w:keepLines w:val="0"/>
        <w:pageBreakBefore w:val="0"/>
        <w:overflowPunct/>
        <w:bidi w:val="0"/>
        <w:spacing w:after="0" w:line="360" w:lineRule="auto"/>
        <w:rPr>
          <w:rFonts w:hint="eastAsia" w:ascii="仿宋_GB2312" w:hAnsi="仿宋_GB2312" w:eastAsia="仿宋_GB2312" w:cs="仿宋_GB2312"/>
          <w:color w:val="auto"/>
          <w:sz w:val="28"/>
          <w:szCs w:val="28"/>
          <w:highlight w:val="none"/>
        </w:rPr>
      </w:pPr>
    </w:p>
    <w:p w14:paraId="018EB145">
      <w:pPr>
        <w:keepNext w:val="0"/>
        <w:keepLines w:val="0"/>
        <w:pageBreakBefore w:val="0"/>
        <w:overflowPunct/>
        <w:bidi w:val="0"/>
        <w:spacing w:after="0" w:line="360" w:lineRule="auto"/>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法定代表人（单位负责人）或其委托代理人：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（签字</w:t>
      </w:r>
      <w:r>
        <w:rPr>
          <w:rFonts w:hint="eastAsia" w:ascii="仿宋_GB2312" w:hAnsi="仿宋_GB2312" w:eastAsia="仿宋_GB2312" w:cs="仿宋_GB2312"/>
          <w:color w:val="auto"/>
          <w:sz w:val="28"/>
          <w:szCs w:val="28"/>
          <w:highlight w:val="none"/>
          <w:lang w:val="en-US" w:eastAsia="zh-CN"/>
        </w:rPr>
        <w:t>和</w:t>
      </w:r>
      <w:r>
        <w:rPr>
          <w:rFonts w:hint="eastAsia" w:ascii="仿宋_GB2312" w:hAnsi="仿宋_GB2312" w:eastAsia="仿宋_GB2312" w:cs="仿宋_GB2312"/>
          <w:color w:val="auto"/>
          <w:sz w:val="28"/>
          <w:szCs w:val="28"/>
          <w:highlight w:val="none"/>
        </w:rPr>
        <w:t>签章）</w:t>
      </w:r>
    </w:p>
    <w:p w14:paraId="4ECC7C3D">
      <w:pPr>
        <w:keepNext w:val="0"/>
        <w:keepLines w:val="0"/>
        <w:pageBreakBefore w:val="0"/>
        <w:overflowPunct/>
        <w:bidi w:val="0"/>
        <w:spacing w:after="0" w:line="360" w:lineRule="auto"/>
        <w:jc w:val="both"/>
        <w:rPr>
          <w:rFonts w:hint="eastAsia" w:ascii="仿宋_GB2312" w:hAnsi="仿宋_GB2312" w:eastAsia="仿宋_GB2312" w:cs="仿宋_GB2312"/>
          <w:color w:val="auto"/>
          <w:sz w:val="28"/>
          <w:szCs w:val="28"/>
          <w:highlight w:val="none"/>
        </w:rPr>
      </w:pPr>
    </w:p>
    <w:p w14:paraId="29738A63">
      <w:pPr>
        <w:keepNext w:val="0"/>
        <w:keepLines w:val="0"/>
        <w:pageBreakBefore w:val="0"/>
        <w:overflowPunct/>
        <w:bidi w:val="0"/>
        <w:spacing w:after="0" w:line="360" w:lineRule="auto"/>
        <w:jc w:val="cente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w:t>
      </w:r>
      <w:bookmarkStart w:id="597" w:name="_Toc23551"/>
      <w:bookmarkStart w:id="598" w:name="_Toc28463"/>
      <w:bookmarkStart w:id="599" w:name="_Toc30184"/>
      <w:bookmarkStart w:id="600" w:name="_Toc193"/>
    </w:p>
    <w:p w14:paraId="7287F293">
      <w:pP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br w:type="page"/>
      </w:r>
    </w:p>
    <w:p w14:paraId="2C934DC9">
      <w:pPr>
        <w:keepNext w:val="0"/>
        <w:keepLines w:val="0"/>
        <w:pageBreakBefore w:val="0"/>
        <w:overflowPunct/>
        <w:bidi w:val="0"/>
        <w:spacing w:line="360" w:lineRule="auto"/>
        <w:jc w:val="center"/>
        <w:outlineLvl w:val="1"/>
        <w:rPr>
          <w:rFonts w:hint="eastAsia" w:ascii="仿宋_GB2312" w:hAnsi="仿宋_GB2312" w:eastAsia="仿宋_GB2312" w:cs="仿宋_GB2312"/>
          <w:b/>
          <w:bCs/>
          <w:color w:val="auto"/>
          <w:sz w:val="28"/>
          <w:szCs w:val="28"/>
          <w:highlight w:val="none"/>
          <w:lang w:val="en-US" w:eastAsia="zh-CN"/>
        </w:rPr>
      </w:pPr>
      <w:bookmarkStart w:id="601" w:name="_Toc25994"/>
      <w:bookmarkStart w:id="602" w:name="_Toc24806"/>
      <w:bookmarkStart w:id="603" w:name="_Toc3457"/>
      <w:bookmarkStart w:id="604" w:name="_Toc17719"/>
      <w:bookmarkStart w:id="605" w:name="_Toc30461"/>
      <w:bookmarkStart w:id="606" w:name="_Toc2362"/>
      <w:bookmarkStart w:id="607" w:name="_Toc20798"/>
      <w:bookmarkStart w:id="608" w:name="_Toc13749"/>
      <w:bookmarkStart w:id="609" w:name="_Toc30591"/>
      <w:bookmarkStart w:id="610" w:name="_Toc32250"/>
      <w:bookmarkStart w:id="611" w:name="_Toc18988"/>
      <w:bookmarkStart w:id="612" w:name="_Toc775"/>
      <w:bookmarkStart w:id="613" w:name="_Toc18658"/>
      <w:bookmarkStart w:id="614" w:name="_Toc23606"/>
      <w:bookmarkStart w:id="615" w:name="_Toc2845"/>
      <w:bookmarkStart w:id="616" w:name="_Toc23064"/>
      <w:bookmarkStart w:id="617" w:name="_Toc26506"/>
      <w:bookmarkStart w:id="618" w:name="_Toc15159"/>
      <w:bookmarkStart w:id="619" w:name="_Toc16708"/>
      <w:bookmarkStart w:id="620" w:name="_Toc23548"/>
      <w:bookmarkStart w:id="621" w:name="_Toc27955"/>
      <w:bookmarkStart w:id="622" w:name="_Toc12865"/>
      <w:bookmarkStart w:id="623" w:name="_Toc11546"/>
      <w:bookmarkStart w:id="624" w:name="_Toc26778"/>
      <w:bookmarkStart w:id="625" w:name="_Toc31698"/>
      <w:bookmarkStart w:id="626" w:name="_Toc6340"/>
      <w:bookmarkStart w:id="627" w:name="_Toc12406"/>
      <w:bookmarkStart w:id="628" w:name="_Toc24945"/>
      <w:r>
        <w:rPr>
          <w:rFonts w:hint="eastAsia" w:ascii="仿宋_GB2312" w:hAnsi="仿宋_GB2312" w:eastAsia="仿宋_GB2312" w:cs="仿宋_GB2312"/>
          <w:b/>
          <w:bCs/>
          <w:color w:val="auto"/>
          <w:sz w:val="28"/>
          <w:szCs w:val="28"/>
          <w:highlight w:val="none"/>
          <w:lang w:val="en-US" w:eastAsia="zh-CN"/>
        </w:rPr>
        <w:t>一、资格审查资料</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14:paraId="00B405E5">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基本情况表</w:t>
      </w:r>
    </w:p>
    <w:tbl>
      <w:tblPr>
        <w:tblStyle w:val="15"/>
        <w:tblW w:w="8316" w:type="dxa"/>
        <w:jc w:val="center"/>
        <w:tblLayout w:type="fixed"/>
        <w:tblCellMar>
          <w:top w:w="0" w:type="dxa"/>
          <w:left w:w="0" w:type="dxa"/>
          <w:bottom w:w="0" w:type="dxa"/>
          <w:right w:w="0" w:type="dxa"/>
        </w:tblCellMar>
      </w:tblPr>
      <w:tblGrid>
        <w:gridCol w:w="2371"/>
        <w:gridCol w:w="937"/>
        <w:gridCol w:w="1569"/>
        <w:gridCol w:w="1175"/>
        <w:gridCol w:w="2264"/>
      </w:tblGrid>
      <w:tr w14:paraId="1D24FE51">
        <w:tblPrEx>
          <w:tblCellMar>
            <w:top w:w="0" w:type="dxa"/>
            <w:left w:w="0" w:type="dxa"/>
            <w:bottom w:w="0" w:type="dxa"/>
            <w:right w:w="0" w:type="dxa"/>
          </w:tblCellMar>
        </w:tblPrEx>
        <w:trPr>
          <w:trHeight w:val="567" w:hRule="atLeast"/>
          <w:jc w:val="center"/>
        </w:trPr>
        <w:tc>
          <w:tcPr>
            <w:tcW w:w="2371" w:type="dxa"/>
            <w:tcBorders>
              <w:top w:val="single" w:color="000000" w:sz="4" w:space="0"/>
              <w:left w:val="single" w:color="000000" w:sz="4" w:space="0"/>
              <w:bottom w:val="single" w:color="000000" w:sz="4" w:space="0"/>
              <w:right w:val="single" w:color="000000" w:sz="4" w:space="0"/>
            </w:tcBorders>
            <w:noWrap w:val="0"/>
            <w:vAlign w:val="center"/>
          </w:tcPr>
          <w:p w14:paraId="0DECF494">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投标人名称</w:t>
            </w:r>
          </w:p>
        </w:tc>
        <w:tc>
          <w:tcPr>
            <w:tcW w:w="5945" w:type="dxa"/>
            <w:gridSpan w:val="4"/>
            <w:tcBorders>
              <w:top w:val="single" w:color="000000" w:sz="4" w:space="0"/>
              <w:left w:val="single" w:color="000000" w:sz="4" w:space="0"/>
              <w:bottom w:val="single" w:color="000000" w:sz="4" w:space="0"/>
              <w:right w:val="single" w:color="000000" w:sz="4" w:space="0"/>
            </w:tcBorders>
            <w:noWrap w:val="0"/>
            <w:vAlign w:val="center"/>
          </w:tcPr>
          <w:p w14:paraId="298AA949">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r>
      <w:tr w14:paraId="531C4032">
        <w:tblPrEx>
          <w:tblCellMar>
            <w:top w:w="0" w:type="dxa"/>
            <w:left w:w="0" w:type="dxa"/>
            <w:bottom w:w="0" w:type="dxa"/>
            <w:right w:w="0" w:type="dxa"/>
          </w:tblCellMar>
        </w:tblPrEx>
        <w:trPr>
          <w:trHeight w:val="567" w:hRule="atLeast"/>
          <w:jc w:val="center"/>
        </w:trPr>
        <w:tc>
          <w:tcPr>
            <w:tcW w:w="2371" w:type="dxa"/>
            <w:tcBorders>
              <w:top w:val="single" w:color="000000" w:sz="4" w:space="0"/>
              <w:left w:val="single" w:color="000000" w:sz="4" w:space="0"/>
              <w:bottom w:val="single" w:color="000000" w:sz="4" w:space="0"/>
              <w:right w:val="single" w:color="000000" w:sz="4" w:space="0"/>
            </w:tcBorders>
            <w:noWrap w:val="0"/>
            <w:vAlign w:val="center"/>
          </w:tcPr>
          <w:p w14:paraId="1AD6AA3D">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注册资金</w:t>
            </w:r>
          </w:p>
        </w:tc>
        <w:tc>
          <w:tcPr>
            <w:tcW w:w="2506" w:type="dxa"/>
            <w:gridSpan w:val="2"/>
            <w:tcBorders>
              <w:top w:val="single" w:color="000000" w:sz="4" w:space="0"/>
              <w:left w:val="single" w:color="000000" w:sz="4" w:space="0"/>
              <w:bottom w:val="single" w:color="000000" w:sz="4" w:space="0"/>
              <w:right w:val="single" w:color="000000" w:sz="4" w:space="0"/>
            </w:tcBorders>
            <w:noWrap w:val="0"/>
            <w:vAlign w:val="center"/>
          </w:tcPr>
          <w:p w14:paraId="5C306941">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0A4E3496">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成立时间</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14:paraId="60D282C1">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r>
      <w:tr w14:paraId="09B5FC7A">
        <w:tblPrEx>
          <w:tblCellMar>
            <w:top w:w="0" w:type="dxa"/>
            <w:left w:w="0" w:type="dxa"/>
            <w:bottom w:w="0" w:type="dxa"/>
            <w:right w:w="0" w:type="dxa"/>
          </w:tblCellMar>
        </w:tblPrEx>
        <w:trPr>
          <w:trHeight w:val="567" w:hRule="atLeast"/>
          <w:jc w:val="center"/>
        </w:trPr>
        <w:tc>
          <w:tcPr>
            <w:tcW w:w="2371" w:type="dxa"/>
            <w:tcBorders>
              <w:top w:val="single" w:color="000000" w:sz="4" w:space="0"/>
              <w:left w:val="single" w:color="000000" w:sz="4" w:space="0"/>
              <w:bottom w:val="single" w:color="000000" w:sz="4" w:space="0"/>
              <w:right w:val="single" w:color="000000" w:sz="4" w:space="0"/>
            </w:tcBorders>
            <w:noWrap w:val="0"/>
            <w:vAlign w:val="center"/>
          </w:tcPr>
          <w:p w14:paraId="01342D1B">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注册地址</w:t>
            </w:r>
          </w:p>
        </w:tc>
        <w:tc>
          <w:tcPr>
            <w:tcW w:w="5945" w:type="dxa"/>
            <w:gridSpan w:val="4"/>
            <w:tcBorders>
              <w:top w:val="single" w:color="000000" w:sz="4" w:space="0"/>
              <w:left w:val="single" w:color="000000" w:sz="4" w:space="0"/>
              <w:bottom w:val="single" w:color="000000" w:sz="4" w:space="0"/>
              <w:right w:val="single" w:color="000000" w:sz="4" w:space="0"/>
            </w:tcBorders>
            <w:noWrap w:val="0"/>
            <w:vAlign w:val="center"/>
          </w:tcPr>
          <w:p w14:paraId="1EA9DD44">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r>
      <w:tr w14:paraId="36401B57">
        <w:tblPrEx>
          <w:tblCellMar>
            <w:top w:w="0" w:type="dxa"/>
            <w:left w:w="0" w:type="dxa"/>
            <w:bottom w:w="0" w:type="dxa"/>
            <w:right w:w="0" w:type="dxa"/>
          </w:tblCellMar>
        </w:tblPrEx>
        <w:trPr>
          <w:trHeight w:val="567" w:hRule="atLeast"/>
          <w:jc w:val="center"/>
        </w:trPr>
        <w:tc>
          <w:tcPr>
            <w:tcW w:w="2371" w:type="dxa"/>
            <w:tcBorders>
              <w:top w:val="single" w:color="000000" w:sz="4" w:space="0"/>
              <w:left w:val="single" w:color="000000" w:sz="4" w:space="0"/>
              <w:bottom w:val="single" w:color="000000" w:sz="4" w:space="0"/>
              <w:right w:val="single" w:color="000000" w:sz="4" w:space="0"/>
            </w:tcBorders>
            <w:noWrap w:val="0"/>
            <w:vAlign w:val="center"/>
          </w:tcPr>
          <w:p w14:paraId="64708CEE">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邮政编码</w:t>
            </w:r>
          </w:p>
        </w:tc>
        <w:tc>
          <w:tcPr>
            <w:tcW w:w="2506" w:type="dxa"/>
            <w:gridSpan w:val="2"/>
            <w:tcBorders>
              <w:top w:val="single" w:color="000000" w:sz="4" w:space="0"/>
              <w:left w:val="single" w:color="000000" w:sz="4" w:space="0"/>
              <w:bottom w:val="single" w:color="000000" w:sz="4" w:space="0"/>
              <w:right w:val="single" w:color="000000" w:sz="4" w:space="0"/>
            </w:tcBorders>
            <w:noWrap w:val="0"/>
            <w:vAlign w:val="center"/>
          </w:tcPr>
          <w:p w14:paraId="60517DAC">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36A77CC8">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员工总数</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14:paraId="24776330">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r>
      <w:tr w14:paraId="4EC5EC63">
        <w:tblPrEx>
          <w:tblCellMar>
            <w:top w:w="0" w:type="dxa"/>
            <w:left w:w="0" w:type="dxa"/>
            <w:bottom w:w="0" w:type="dxa"/>
            <w:right w:w="0" w:type="dxa"/>
          </w:tblCellMar>
        </w:tblPrEx>
        <w:trPr>
          <w:trHeight w:val="567" w:hRule="atLeast"/>
          <w:jc w:val="center"/>
        </w:trPr>
        <w:tc>
          <w:tcPr>
            <w:tcW w:w="237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2C1760">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联系方式</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1ADE1027">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联系人</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14:paraId="7E734F13">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5899DAA0">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电话</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14:paraId="01E62755">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r>
      <w:tr w14:paraId="48F73FB9">
        <w:tblPrEx>
          <w:tblCellMar>
            <w:top w:w="0" w:type="dxa"/>
            <w:left w:w="0" w:type="dxa"/>
            <w:bottom w:w="0" w:type="dxa"/>
            <w:right w:w="0" w:type="dxa"/>
          </w:tblCellMar>
        </w:tblPrEx>
        <w:trPr>
          <w:trHeight w:val="567" w:hRule="atLeast"/>
          <w:jc w:val="center"/>
        </w:trPr>
        <w:tc>
          <w:tcPr>
            <w:tcW w:w="237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858EF">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76D258D7">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网址</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14:paraId="2902CEE0">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2E3A2982">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传真</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14:paraId="22EA66B9">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r>
      <w:tr w14:paraId="5D64A4D3">
        <w:tblPrEx>
          <w:tblCellMar>
            <w:top w:w="0" w:type="dxa"/>
            <w:left w:w="0" w:type="dxa"/>
            <w:bottom w:w="0" w:type="dxa"/>
            <w:right w:w="0" w:type="dxa"/>
          </w:tblCellMar>
        </w:tblPrEx>
        <w:trPr>
          <w:trHeight w:val="527" w:hRule="atLeast"/>
          <w:jc w:val="center"/>
        </w:trPr>
        <w:tc>
          <w:tcPr>
            <w:tcW w:w="2371" w:type="dxa"/>
            <w:tcBorders>
              <w:top w:val="single" w:color="000000" w:sz="4" w:space="0"/>
              <w:left w:val="single" w:color="000000" w:sz="4" w:space="0"/>
              <w:bottom w:val="single" w:color="000000" w:sz="4" w:space="0"/>
              <w:right w:val="single" w:color="000000" w:sz="4" w:space="0"/>
            </w:tcBorders>
            <w:noWrap w:val="0"/>
            <w:vAlign w:val="center"/>
          </w:tcPr>
          <w:p w14:paraId="0E92D0C7">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w:t>
            </w:r>
          </w:p>
          <w:p w14:paraId="32E83A50">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（单位负责人）</w:t>
            </w:r>
          </w:p>
        </w:tc>
        <w:tc>
          <w:tcPr>
            <w:tcW w:w="937" w:type="dxa"/>
            <w:tcBorders>
              <w:top w:val="single" w:color="000000" w:sz="4" w:space="0"/>
              <w:left w:val="single" w:color="000000" w:sz="4" w:space="0"/>
              <w:bottom w:val="single" w:color="000000" w:sz="4" w:space="0"/>
              <w:right w:val="single" w:color="000000" w:sz="4" w:space="0"/>
            </w:tcBorders>
            <w:noWrap w:val="0"/>
            <w:vAlign w:val="center"/>
          </w:tcPr>
          <w:p w14:paraId="5942BD93">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姓名</w:t>
            </w:r>
          </w:p>
        </w:tc>
        <w:tc>
          <w:tcPr>
            <w:tcW w:w="1569" w:type="dxa"/>
            <w:tcBorders>
              <w:top w:val="single" w:color="000000" w:sz="4" w:space="0"/>
              <w:left w:val="single" w:color="000000" w:sz="4" w:space="0"/>
              <w:bottom w:val="single" w:color="000000" w:sz="4" w:space="0"/>
              <w:right w:val="single" w:color="000000" w:sz="4" w:space="0"/>
            </w:tcBorders>
            <w:noWrap w:val="0"/>
            <w:vAlign w:val="center"/>
          </w:tcPr>
          <w:p w14:paraId="7277E562">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c>
          <w:tcPr>
            <w:tcW w:w="1175" w:type="dxa"/>
            <w:tcBorders>
              <w:top w:val="single" w:color="000000" w:sz="4" w:space="0"/>
              <w:left w:val="single" w:color="000000" w:sz="4" w:space="0"/>
              <w:bottom w:val="single" w:color="000000" w:sz="4" w:space="0"/>
              <w:right w:val="single" w:color="000000" w:sz="4" w:space="0"/>
            </w:tcBorders>
            <w:noWrap w:val="0"/>
            <w:vAlign w:val="center"/>
          </w:tcPr>
          <w:p w14:paraId="115E8941">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电话</w:t>
            </w:r>
          </w:p>
        </w:tc>
        <w:tc>
          <w:tcPr>
            <w:tcW w:w="2264" w:type="dxa"/>
            <w:tcBorders>
              <w:top w:val="single" w:color="000000" w:sz="4" w:space="0"/>
              <w:left w:val="single" w:color="000000" w:sz="4" w:space="0"/>
              <w:bottom w:val="single" w:color="000000" w:sz="4" w:space="0"/>
              <w:right w:val="single" w:color="000000" w:sz="4" w:space="0"/>
            </w:tcBorders>
            <w:noWrap w:val="0"/>
            <w:vAlign w:val="center"/>
          </w:tcPr>
          <w:p w14:paraId="1C12D92F">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r>
      <w:tr w14:paraId="2E4CB4D9">
        <w:tblPrEx>
          <w:tblCellMar>
            <w:top w:w="0" w:type="dxa"/>
            <w:left w:w="0" w:type="dxa"/>
            <w:bottom w:w="0" w:type="dxa"/>
            <w:right w:w="0" w:type="dxa"/>
          </w:tblCellMar>
        </w:tblPrEx>
        <w:trPr>
          <w:trHeight w:val="567" w:hRule="atLeast"/>
          <w:jc w:val="center"/>
        </w:trPr>
        <w:tc>
          <w:tcPr>
            <w:tcW w:w="2371" w:type="dxa"/>
            <w:tcBorders>
              <w:top w:val="single" w:color="000000" w:sz="4" w:space="0"/>
              <w:left w:val="single" w:color="000000" w:sz="4" w:space="0"/>
              <w:bottom w:val="single" w:color="000000" w:sz="4" w:space="0"/>
              <w:right w:val="single" w:color="000000" w:sz="4" w:space="0"/>
            </w:tcBorders>
            <w:noWrap w:val="0"/>
            <w:vAlign w:val="center"/>
          </w:tcPr>
          <w:p w14:paraId="6E6AB48E">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基本账户开户银行</w:t>
            </w:r>
          </w:p>
        </w:tc>
        <w:tc>
          <w:tcPr>
            <w:tcW w:w="5945" w:type="dxa"/>
            <w:gridSpan w:val="4"/>
            <w:tcBorders>
              <w:top w:val="single" w:color="000000" w:sz="4" w:space="0"/>
              <w:left w:val="single" w:color="000000" w:sz="4" w:space="0"/>
              <w:bottom w:val="single" w:color="000000" w:sz="4" w:space="0"/>
              <w:right w:val="single" w:color="000000" w:sz="4" w:space="0"/>
            </w:tcBorders>
            <w:noWrap w:val="0"/>
            <w:vAlign w:val="center"/>
          </w:tcPr>
          <w:p w14:paraId="24BAE0F0">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r>
      <w:tr w14:paraId="006DF14A">
        <w:tblPrEx>
          <w:tblCellMar>
            <w:top w:w="0" w:type="dxa"/>
            <w:left w:w="0" w:type="dxa"/>
            <w:bottom w:w="0" w:type="dxa"/>
            <w:right w:w="0" w:type="dxa"/>
          </w:tblCellMar>
        </w:tblPrEx>
        <w:trPr>
          <w:trHeight w:val="567" w:hRule="atLeast"/>
          <w:jc w:val="center"/>
        </w:trPr>
        <w:tc>
          <w:tcPr>
            <w:tcW w:w="2371" w:type="dxa"/>
            <w:tcBorders>
              <w:top w:val="single" w:color="000000" w:sz="4" w:space="0"/>
              <w:left w:val="single" w:color="000000" w:sz="4" w:space="0"/>
              <w:bottom w:val="single" w:color="000000" w:sz="4" w:space="0"/>
              <w:right w:val="single" w:color="000000" w:sz="4" w:space="0"/>
            </w:tcBorders>
            <w:noWrap w:val="0"/>
            <w:vAlign w:val="center"/>
          </w:tcPr>
          <w:p w14:paraId="31CBA8FC">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基本账户银行账号</w:t>
            </w:r>
          </w:p>
        </w:tc>
        <w:tc>
          <w:tcPr>
            <w:tcW w:w="5945" w:type="dxa"/>
            <w:gridSpan w:val="4"/>
            <w:tcBorders>
              <w:top w:val="single" w:color="000000" w:sz="4" w:space="0"/>
              <w:left w:val="single" w:color="000000" w:sz="4" w:space="0"/>
              <w:bottom w:val="single" w:color="000000" w:sz="4" w:space="0"/>
              <w:right w:val="single" w:color="000000" w:sz="4" w:space="0"/>
            </w:tcBorders>
            <w:noWrap w:val="0"/>
            <w:vAlign w:val="center"/>
          </w:tcPr>
          <w:p w14:paraId="1F47AC94">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r>
      <w:tr w14:paraId="3AE83343">
        <w:tblPrEx>
          <w:tblCellMar>
            <w:top w:w="0" w:type="dxa"/>
            <w:left w:w="0" w:type="dxa"/>
            <w:bottom w:w="0" w:type="dxa"/>
            <w:right w:w="0" w:type="dxa"/>
          </w:tblCellMar>
        </w:tblPrEx>
        <w:trPr>
          <w:trHeight w:val="567" w:hRule="atLeast"/>
          <w:jc w:val="center"/>
        </w:trPr>
        <w:tc>
          <w:tcPr>
            <w:tcW w:w="2371" w:type="dxa"/>
            <w:tcBorders>
              <w:top w:val="single" w:color="000000" w:sz="4" w:space="0"/>
              <w:left w:val="single" w:color="000000" w:sz="4" w:space="0"/>
              <w:bottom w:val="single" w:color="000000" w:sz="4" w:space="0"/>
              <w:right w:val="single" w:color="000000" w:sz="4" w:space="0"/>
            </w:tcBorders>
            <w:noWrap w:val="0"/>
            <w:vAlign w:val="center"/>
          </w:tcPr>
          <w:p w14:paraId="5A0B003D">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c>
          <w:tcPr>
            <w:tcW w:w="5945" w:type="dxa"/>
            <w:gridSpan w:val="4"/>
            <w:tcBorders>
              <w:top w:val="single" w:color="000000" w:sz="4" w:space="0"/>
              <w:left w:val="single" w:color="000000" w:sz="4" w:space="0"/>
              <w:bottom w:val="single" w:color="000000" w:sz="4" w:space="0"/>
              <w:right w:val="single" w:color="000000" w:sz="4" w:space="0"/>
            </w:tcBorders>
            <w:noWrap w:val="0"/>
            <w:vAlign w:val="center"/>
          </w:tcPr>
          <w:p w14:paraId="7A2A5FCD">
            <w:pPr>
              <w:keepNext w:val="0"/>
              <w:keepLines w:val="0"/>
              <w:pageBreakBefore w:val="0"/>
              <w:suppressLineNumbers w:val="0"/>
              <w:overflowPunct/>
              <w:topLinePunct/>
              <w:autoSpaceDE w:val="0"/>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rPr>
            </w:pPr>
          </w:p>
        </w:tc>
      </w:tr>
    </w:tbl>
    <w:p w14:paraId="13601C26">
      <w:pPr>
        <w:keepNext w:val="0"/>
        <w:keepLines w:val="0"/>
        <w:pageBreakBefore w:val="0"/>
        <w:widowControl w:val="0"/>
        <w:kinsoku/>
        <w:wordWrap/>
        <w:overflowPunct/>
        <w:topLinePunct/>
        <w:autoSpaceDE w:val="0"/>
        <w:autoSpaceDN/>
        <w:bidi w:val="0"/>
        <w:adjustRightInd/>
        <w:snapToGrid/>
        <w:spacing w:after="0" w:line="360" w:lineRule="auto"/>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注：</w:t>
      </w:r>
    </w:p>
    <w:p w14:paraId="6BDB71E5">
      <w:pPr>
        <w:keepNext w:val="0"/>
        <w:keepLines w:val="0"/>
        <w:pageBreakBefore w:val="0"/>
        <w:widowControl w:val="0"/>
        <w:kinsoku/>
        <w:wordWrap/>
        <w:overflowPunct/>
        <w:topLinePunct/>
        <w:autoSpaceDE w:val="0"/>
        <w:autoSpaceDN/>
        <w:bidi w:val="0"/>
        <w:adjustRightInd/>
        <w:snapToGrid/>
        <w:spacing w:after="0" w:line="360" w:lineRule="auto"/>
        <w:jc w:val="left"/>
        <w:textAlignment w:val="auto"/>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val="en-US" w:eastAsia="zh-CN"/>
        </w:rPr>
        <w:t>投标人应在本表后附营业执照等相关证明材料（复印件需加盖单位公章）。</w:t>
      </w:r>
    </w:p>
    <w:p w14:paraId="236806F5">
      <w:pPr>
        <w:keepNext w:val="0"/>
        <w:keepLines w:val="0"/>
        <w:pageBreakBefore w:val="0"/>
        <w:widowControl w:val="0"/>
        <w:kinsoku/>
        <w:wordWrap/>
        <w:overflowPunct/>
        <w:topLinePunct/>
        <w:autoSpaceDE w:val="0"/>
        <w:autoSpaceDN/>
        <w:bidi w:val="0"/>
        <w:adjustRightInd/>
        <w:snapToGrid/>
        <w:spacing w:after="0" w:line="360" w:lineRule="auto"/>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 “员工总数”须是投标人签订劳动合同并为其缴纳社会保险的公司正式员工，可附社保缴纳证明。</w:t>
      </w:r>
    </w:p>
    <w:p w14:paraId="61779582">
      <w:pPr>
        <w:keepNext w:val="0"/>
        <w:keepLines w:val="0"/>
        <w:pageBreakBefore w:val="0"/>
        <w:overflowPunct/>
        <w:bidi w:val="0"/>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br w:type="page"/>
      </w:r>
    </w:p>
    <w:p w14:paraId="238FEA76">
      <w:pPr>
        <w:keepNext w:val="0"/>
        <w:keepLines w:val="0"/>
        <w:pageBreakBefore w:val="0"/>
        <w:overflowPunct/>
        <w:bidi w:val="0"/>
        <w:spacing w:line="360" w:lineRule="auto"/>
        <w:ind w:firstLine="562" w:firstLineChars="200"/>
        <w:jc w:val="center"/>
        <w:outlineLvl w:val="1"/>
        <w:rPr>
          <w:rFonts w:hint="eastAsia" w:ascii="仿宋_GB2312" w:hAnsi="仿宋_GB2312" w:eastAsia="仿宋_GB2312" w:cs="仿宋_GB2312"/>
          <w:b/>
          <w:bCs/>
          <w:color w:val="auto"/>
          <w:sz w:val="28"/>
          <w:szCs w:val="28"/>
          <w:highlight w:val="none"/>
          <w:lang w:val="en-US" w:eastAsia="zh-CN"/>
        </w:rPr>
      </w:pPr>
      <w:bookmarkStart w:id="629" w:name="_Toc23989"/>
      <w:bookmarkStart w:id="630" w:name="_Toc10747"/>
      <w:bookmarkStart w:id="631" w:name="_Toc7772"/>
      <w:bookmarkStart w:id="632" w:name="_Toc389"/>
      <w:bookmarkStart w:id="633" w:name="_Toc17769"/>
      <w:bookmarkStart w:id="634" w:name="_Toc14619"/>
      <w:bookmarkStart w:id="635" w:name="_Toc28825"/>
      <w:bookmarkStart w:id="636" w:name="_Toc27029"/>
      <w:bookmarkStart w:id="637" w:name="_Toc25718"/>
      <w:bookmarkStart w:id="638" w:name="_Toc1643"/>
      <w:bookmarkStart w:id="639" w:name="_Toc28766"/>
      <w:bookmarkStart w:id="640" w:name="_Toc17620"/>
      <w:bookmarkStart w:id="641" w:name="_Toc26879"/>
      <w:bookmarkStart w:id="642" w:name="_Toc6587"/>
      <w:bookmarkStart w:id="643" w:name="_Toc3103"/>
      <w:bookmarkStart w:id="644" w:name="_Toc15737"/>
      <w:bookmarkStart w:id="645" w:name="_Toc20837"/>
      <w:bookmarkStart w:id="646" w:name="_Toc1929"/>
      <w:bookmarkStart w:id="647" w:name="_Toc27365"/>
      <w:bookmarkStart w:id="648" w:name="_Toc16025"/>
      <w:bookmarkStart w:id="649" w:name="_Toc25377"/>
      <w:bookmarkStart w:id="650" w:name="_Toc8444"/>
      <w:bookmarkStart w:id="651" w:name="_Toc29584"/>
      <w:bookmarkStart w:id="652" w:name="_Toc30794"/>
      <w:r>
        <w:rPr>
          <w:rFonts w:hint="eastAsia" w:ascii="仿宋_GB2312" w:hAnsi="仿宋_GB2312" w:eastAsia="仿宋_GB2312" w:cs="仿宋_GB2312"/>
          <w:b/>
          <w:bCs/>
          <w:color w:val="auto"/>
          <w:sz w:val="28"/>
          <w:szCs w:val="28"/>
          <w:highlight w:val="none"/>
          <w:lang w:val="en-US" w:eastAsia="zh-CN"/>
        </w:rPr>
        <w:t>二、采购响应函</w:t>
      </w:r>
      <w:bookmarkEnd w:id="597"/>
      <w:bookmarkEnd w:id="598"/>
      <w:bookmarkEnd w:id="599"/>
      <w:bookmarkEnd w:id="600"/>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41BD0C7D">
      <w:pPr>
        <w:keepNext w:val="0"/>
        <w:keepLines w:val="0"/>
        <w:pageBreakBefore w:val="0"/>
        <w:overflowPunct/>
        <w:bidi w:val="0"/>
        <w:spacing w:line="360" w:lineRule="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致：安徽新安银行股份有限公司</w:t>
      </w:r>
    </w:p>
    <w:p w14:paraId="100AF608">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val="en-US" w:eastAsia="zh-CN"/>
        </w:rPr>
        <w:t>我方已仔细研究了</w:t>
      </w:r>
      <w:r>
        <w:rPr>
          <w:rFonts w:hint="eastAsia" w:ascii="仿宋_GB2312" w:hAnsi="仿宋_GB2312" w:eastAsia="仿宋_GB2312" w:cs="仿宋_GB2312"/>
          <w:color w:val="auto"/>
          <w:sz w:val="28"/>
          <w:szCs w:val="28"/>
          <w:highlight w:val="none"/>
          <w:u w:val="single"/>
          <w:lang w:val="en-US" w:eastAsia="zh-CN"/>
        </w:rPr>
        <w:t>安徽新安银行办公电脑采购项目</w:t>
      </w:r>
      <w:r>
        <w:rPr>
          <w:rFonts w:hint="eastAsia" w:ascii="仿宋_GB2312" w:hAnsi="仿宋_GB2312" w:eastAsia="仿宋_GB2312" w:cs="仿宋_GB2312"/>
          <w:color w:val="auto"/>
          <w:sz w:val="28"/>
          <w:szCs w:val="28"/>
          <w:highlight w:val="none"/>
          <w:lang w:val="en-US" w:eastAsia="zh-CN"/>
        </w:rPr>
        <w:t>招标文件的全部内容，愿意以投标总报价</w:t>
      </w:r>
      <w:r>
        <w:rPr>
          <w:rFonts w:hint="eastAsia" w:ascii="仿宋_GB2312" w:hAnsi="仿宋_GB2312" w:eastAsia="仿宋_GB2312" w:cs="仿宋_GB2312"/>
          <w:b w:val="0"/>
          <w:bCs w:val="0"/>
          <w:color w:val="auto"/>
          <w:sz w:val="28"/>
          <w:szCs w:val="28"/>
          <w:highlight w:val="none"/>
          <w:u w:val="single"/>
        </w:rPr>
        <w:t xml:space="preserve">     </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b w:val="0"/>
          <w:bCs w:val="0"/>
          <w:color w:val="auto"/>
          <w:sz w:val="28"/>
          <w:szCs w:val="28"/>
          <w:highlight w:val="none"/>
          <w:u w:val="single"/>
        </w:rPr>
        <w:t xml:space="preserve">  </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元的投标报价提供该项目的产品及服务等相关工作，并按合同约定履行义务。</w:t>
      </w:r>
    </w:p>
    <w:p w14:paraId="3972BFD1">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val="en-US" w:eastAsia="zh-CN"/>
        </w:rPr>
        <w:t>我方的投标文件包括下列内容：</w:t>
      </w:r>
    </w:p>
    <w:p w14:paraId="104C29F0">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详见投标文件格式</w:t>
      </w:r>
    </w:p>
    <w:p w14:paraId="72675561">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投标文件的上述组成部分如存在内容不一致的，以采购响应函为准。</w:t>
      </w:r>
    </w:p>
    <w:p w14:paraId="0A6EAB01">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val="en-US" w:eastAsia="zh-CN"/>
        </w:rPr>
        <w:t>我方承诺除“技术参数及要求响应偏离表”列出的偏差外，我方响应招标文件的全部要求。</w:t>
      </w:r>
    </w:p>
    <w:p w14:paraId="5FA1EC45">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val="en-US" w:eastAsia="zh-CN"/>
        </w:rPr>
        <w:t>我方承诺在招标文件规定的投标有效期内不撤销投标文件。</w:t>
      </w:r>
    </w:p>
    <w:p w14:paraId="0CA665BE">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lang w:val="en-US" w:eastAsia="zh-CN"/>
        </w:rPr>
        <w:t>如我方中标，我方承诺：</w:t>
      </w:r>
    </w:p>
    <w:p w14:paraId="32978FDE">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（1）在收到中标通知书后，在中标通知书规定的期限内与甲方签订合同；</w:t>
      </w:r>
    </w:p>
    <w:p w14:paraId="776DE8FD">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（2）在签订合同时不向甲方提出附加条件；</w:t>
      </w:r>
    </w:p>
    <w:p w14:paraId="0B383D5F">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（3）在合同约定的期限内完成合同规定的全部义务。</w:t>
      </w:r>
    </w:p>
    <w:p w14:paraId="5101F886">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lang w:val="en-US" w:eastAsia="zh-CN"/>
        </w:rPr>
        <w:t>我方在此声明，所递交的投标文件及有关资料内容完整、真实和准确。</w:t>
      </w:r>
    </w:p>
    <w:p w14:paraId="6F166DA0">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lang w:val="en-US" w:eastAsia="zh-CN"/>
        </w:rPr>
        <w:t>我方承诺中标，会按照招标文件中的相关要求提供产品质量保证。</w:t>
      </w:r>
    </w:p>
    <w:p w14:paraId="300D1ADB">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地址：</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ab/>
      </w:r>
      <w:r>
        <w:rPr>
          <w:rFonts w:hint="eastAsia" w:ascii="仿宋_GB2312" w:hAnsi="仿宋_GB2312" w:eastAsia="仿宋_GB2312" w:cs="仿宋_GB2312"/>
          <w:color w:val="auto"/>
          <w:sz w:val="28"/>
          <w:szCs w:val="28"/>
          <w:highlight w:val="none"/>
          <w:lang w:val="en-US" w:eastAsia="zh-CN"/>
        </w:rPr>
        <w:tab/>
      </w:r>
    </w:p>
    <w:p w14:paraId="77AAA883">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lang w:val="en-US" w:eastAsia="zh-CN"/>
        </w:rPr>
        <w:t>邮编：</w:t>
      </w:r>
      <w:r>
        <w:rPr>
          <w:rFonts w:hint="eastAsia" w:ascii="仿宋_GB2312" w:hAnsi="仿宋_GB2312" w:eastAsia="仿宋_GB2312" w:cs="仿宋_GB2312"/>
          <w:color w:val="auto"/>
          <w:sz w:val="28"/>
          <w:szCs w:val="28"/>
          <w:highlight w:val="none"/>
          <w:u w:val="single"/>
          <w:lang w:val="en-US" w:eastAsia="zh-CN"/>
        </w:rPr>
        <w:t xml:space="preserve">                  </w:t>
      </w:r>
    </w:p>
    <w:p w14:paraId="6CC50AC9">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电话：</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ab/>
      </w:r>
      <w:r>
        <w:rPr>
          <w:rFonts w:hint="eastAsia" w:ascii="仿宋_GB2312" w:hAnsi="仿宋_GB2312" w:eastAsia="仿宋_GB2312" w:cs="仿宋_GB2312"/>
          <w:color w:val="auto"/>
          <w:sz w:val="28"/>
          <w:szCs w:val="28"/>
          <w:highlight w:val="none"/>
          <w:lang w:val="en-US" w:eastAsia="zh-CN"/>
        </w:rPr>
        <w:tab/>
      </w:r>
      <w:r>
        <w:rPr>
          <w:rFonts w:hint="eastAsia" w:ascii="仿宋_GB2312" w:hAnsi="仿宋_GB2312" w:eastAsia="仿宋_GB2312" w:cs="仿宋_GB2312"/>
          <w:color w:val="auto"/>
          <w:sz w:val="28"/>
          <w:szCs w:val="28"/>
          <w:highlight w:val="none"/>
          <w:lang w:val="en-US" w:eastAsia="zh-CN"/>
        </w:rPr>
        <w:tab/>
      </w:r>
      <w:r>
        <w:rPr>
          <w:rFonts w:hint="eastAsia" w:ascii="仿宋_GB2312" w:hAnsi="仿宋_GB2312" w:eastAsia="仿宋_GB2312" w:cs="仿宋_GB2312"/>
          <w:color w:val="auto"/>
          <w:sz w:val="28"/>
          <w:szCs w:val="28"/>
          <w:highlight w:val="none"/>
          <w:lang w:val="en-US" w:eastAsia="zh-CN"/>
        </w:rPr>
        <w:tab/>
      </w:r>
      <w:r>
        <w:rPr>
          <w:rFonts w:hint="eastAsia" w:ascii="仿宋_GB2312" w:hAnsi="仿宋_GB2312" w:eastAsia="仿宋_GB2312" w:cs="仿宋_GB2312"/>
          <w:color w:val="auto"/>
          <w:sz w:val="28"/>
          <w:szCs w:val="28"/>
          <w:highlight w:val="none"/>
          <w:lang w:val="en-US" w:eastAsia="zh-CN"/>
        </w:rPr>
        <w:tab/>
      </w:r>
      <w:r>
        <w:rPr>
          <w:rFonts w:hint="eastAsia" w:ascii="仿宋_GB2312" w:hAnsi="仿宋_GB2312" w:eastAsia="仿宋_GB2312" w:cs="仿宋_GB2312"/>
          <w:color w:val="auto"/>
          <w:sz w:val="28"/>
          <w:szCs w:val="28"/>
          <w:highlight w:val="none"/>
          <w:lang w:val="en-US" w:eastAsia="zh-CN"/>
        </w:rPr>
        <w:tab/>
      </w:r>
      <w:r>
        <w:rPr>
          <w:rFonts w:hint="eastAsia" w:ascii="仿宋_GB2312" w:hAnsi="仿宋_GB2312" w:eastAsia="仿宋_GB2312" w:cs="仿宋_GB2312"/>
          <w:color w:val="auto"/>
          <w:sz w:val="28"/>
          <w:szCs w:val="28"/>
          <w:highlight w:val="none"/>
          <w:lang w:val="en-US" w:eastAsia="zh-CN"/>
        </w:rPr>
        <w:tab/>
      </w:r>
    </w:p>
    <w:p w14:paraId="1BD4859F">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（盖单位公章）</w:t>
      </w:r>
    </w:p>
    <w:p w14:paraId="1AF83286">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法定代表人（单位负责人）或其委托代理人：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（签字</w:t>
      </w:r>
      <w:r>
        <w:rPr>
          <w:rFonts w:hint="default" w:ascii="仿宋_GB2312" w:hAnsi="仿宋_GB2312" w:eastAsia="仿宋_GB2312" w:cs="仿宋_GB2312"/>
          <w:color w:val="auto"/>
          <w:sz w:val="28"/>
          <w:szCs w:val="28"/>
          <w:highlight w:val="none"/>
          <w:lang w:val="en-US" w:eastAsia="zh-CN"/>
        </w:rPr>
        <w:t>和加</w:t>
      </w:r>
      <w:r>
        <w:rPr>
          <w:rFonts w:hint="eastAsia" w:ascii="仿宋_GB2312" w:hAnsi="仿宋_GB2312" w:eastAsia="仿宋_GB2312" w:cs="仿宋_GB2312"/>
          <w:color w:val="auto"/>
          <w:sz w:val="28"/>
          <w:szCs w:val="28"/>
          <w:highlight w:val="none"/>
          <w:lang w:val="en-US" w:eastAsia="zh-CN"/>
        </w:rPr>
        <w:t>盖单位公章）</w:t>
      </w:r>
    </w:p>
    <w:p w14:paraId="45C935D8">
      <w:pPr>
        <w:keepNext w:val="0"/>
        <w:keepLines w:val="0"/>
        <w:pageBreakBefore w:val="0"/>
        <w:overflowPunct/>
        <w:bidi w:val="0"/>
        <w:spacing w:line="360" w:lineRule="auto"/>
        <w:ind w:firstLine="560" w:firstLineChars="200"/>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时间：</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 xml:space="preserve">年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月</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日</w:t>
      </w:r>
      <w:bookmarkStart w:id="653" w:name="_Toc8171"/>
      <w:bookmarkStart w:id="654" w:name="_Toc1667"/>
      <w:bookmarkStart w:id="655" w:name="_Toc458"/>
      <w:bookmarkStart w:id="656" w:name="_Toc8513"/>
      <w:bookmarkStart w:id="657" w:name="_Toc463773799"/>
      <w:bookmarkStart w:id="658" w:name="_Toc469307450"/>
      <w:bookmarkStart w:id="659" w:name="_Toc354473731"/>
    </w:p>
    <w:p w14:paraId="188524AF">
      <w:pPr>
        <w:keepNext w:val="0"/>
        <w:keepLines w:val="0"/>
        <w:pageBreakBefore w:val="0"/>
        <w:overflowPunct/>
        <w:bidi w:val="0"/>
        <w:spacing w:line="360" w:lineRule="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br w:type="page"/>
      </w:r>
    </w:p>
    <w:p w14:paraId="3332793C">
      <w:pPr>
        <w:keepNext w:val="0"/>
        <w:keepLines w:val="0"/>
        <w:pageBreakBefore w:val="0"/>
        <w:overflowPunct/>
        <w:bidi w:val="0"/>
        <w:spacing w:line="360" w:lineRule="auto"/>
        <w:ind w:firstLine="562" w:firstLineChars="200"/>
        <w:jc w:val="center"/>
        <w:outlineLvl w:val="1"/>
        <w:rPr>
          <w:rFonts w:hint="eastAsia" w:ascii="仿宋_GB2312" w:hAnsi="仿宋_GB2312" w:eastAsia="仿宋_GB2312" w:cs="仿宋_GB2312"/>
          <w:b/>
          <w:bCs/>
          <w:color w:val="auto"/>
          <w:sz w:val="28"/>
          <w:szCs w:val="28"/>
          <w:highlight w:val="none"/>
          <w:lang w:val="en-US" w:eastAsia="zh-CN"/>
        </w:rPr>
      </w:pPr>
      <w:bookmarkStart w:id="660" w:name="_Toc26400"/>
      <w:bookmarkStart w:id="661" w:name="_Toc24609"/>
      <w:bookmarkStart w:id="662" w:name="_Toc21435"/>
      <w:bookmarkStart w:id="663" w:name="_Toc5705"/>
      <w:bookmarkStart w:id="664" w:name="_Toc30620"/>
      <w:bookmarkStart w:id="665" w:name="_Toc21792"/>
      <w:bookmarkStart w:id="666" w:name="_Toc3408"/>
      <w:bookmarkStart w:id="667" w:name="_Toc3635"/>
      <w:bookmarkStart w:id="668" w:name="_Toc23974"/>
      <w:bookmarkStart w:id="669" w:name="_Toc11836"/>
      <w:bookmarkStart w:id="670" w:name="_Toc26912"/>
      <w:bookmarkStart w:id="671" w:name="_Toc31650"/>
      <w:bookmarkStart w:id="672" w:name="_Toc1537"/>
      <w:bookmarkStart w:id="673" w:name="_Toc24985"/>
      <w:bookmarkStart w:id="674" w:name="_Toc3990"/>
      <w:bookmarkStart w:id="675" w:name="_Toc26240"/>
      <w:bookmarkStart w:id="676" w:name="_Toc14074"/>
      <w:bookmarkStart w:id="677" w:name="_Toc8411"/>
      <w:bookmarkStart w:id="678" w:name="_Toc9673"/>
      <w:bookmarkStart w:id="679" w:name="_Toc24762"/>
      <w:bookmarkStart w:id="680" w:name="_Toc19558"/>
      <w:bookmarkStart w:id="681" w:name="_Toc4556"/>
      <w:bookmarkStart w:id="682" w:name="_Toc28953"/>
      <w:bookmarkStart w:id="683" w:name="_Toc4713"/>
      <w:r>
        <w:rPr>
          <w:rFonts w:hint="eastAsia" w:ascii="仿宋_GB2312" w:hAnsi="仿宋_GB2312" w:eastAsia="仿宋_GB2312" w:cs="仿宋_GB2312"/>
          <w:b/>
          <w:bCs/>
          <w:color w:val="auto"/>
          <w:sz w:val="28"/>
          <w:szCs w:val="28"/>
          <w:highlight w:val="none"/>
          <w:lang w:val="en-US" w:eastAsia="zh-CN"/>
        </w:rPr>
        <w:t>三、报价表</w:t>
      </w:r>
      <w:bookmarkEnd w:id="653"/>
      <w:bookmarkEnd w:id="654"/>
      <w:bookmarkEnd w:id="655"/>
      <w:bookmarkEnd w:id="656"/>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14:paraId="1306BDFF">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zh-CN" w:eastAsia="zh-CN"/>
        </w:rPr>
        <w:t>项目名称：</w:t>
      </w:r>
      <w:r>
        <w:rPr>
          <w:rFonts w:hint="eastAsia" w:ascii="仿宋_GB2312" w:hAnsi="仿宋_GB2312" w:eastAsia="仿宋_GB2312" w:cs="仿宋_GB2312"/>
          <w:color w:val="auto"/>
          <w:sz w:val="28"/>
          <w:szCs w:val="28"/>
          <w:highlight w:val="none"/>
          <w:lang w:val="en-US" w:eastAsia="zh-CN"/>
        </w:rPr>
        <w:t>安徽新安银行办公电脑采购项目</w:t>
      </w:r>
    </w:p>
    <w:p w14:paraId="343665CC">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投标单位</w:t>
      </w:r>
      <w:r>
        <w:rPr>
          <w:rFonts w:hint="eastAsia" w:ascii="仿宋_GB2312" w:hAnsi="仿宋_GB2312" w:eastAsia="仿宋_GB2312" w:cs="仿宋_GB2312"/>
          <w:color w:val="auto"/>
          <w:sz w:val="28"/>
          <w:szCs w:val="28"/>
          <w:highlight w:val="none"/>
          <w:lang w:val="zh-CN" w:eastAsia="zh-CN"/>
        </w:rPr>
        <w:t>：</w:t>
      </w:r>
      <w:r>
        <w:rPr>
          <w:rFonts w:hint="eastAsia" w:ascii="仿宋_GB2312" w:hAnsi="仿宋_GB2312" w:eastAsia="仿宋_GB2312" w:cs="仿宋_GB2312"/>
          <w:color w:val="auto"/>
          <w:sz w:val="28"/>
          <w:szCs w:val="28"/>
          <w:highlight w:val="none"/>
          <w:u w:val="single"/>
          <w:lang w:val="en-US" w:eastAsia="zh-CN"/>
        </w:rPr>
        <w:t xml:space="preserve">                             </w:t>
      </w:r>
    </w:p>
    <w:p w14:paraId="5EF88CD6">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人民币</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元</w:t>
      </w:r>
    </w:p>
    <w:tbl>
      <w:tblPr>
        <w:tblStyle w:val="15"/>
        <w:tblW w:w="7304"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54"/>
        <w:gridCol w:w="1250"/>
        <w:gridCol w:w="1175"/>
        <w:gridCol w:w="1175"/>
        <w:gridCol w:w="1312"/>
        <w:gridCol w:w="1638"/>
      </w:tblGrid>
      <w:tr w14:paraId="61AD29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7" w:hRule="atLeast"/>
          <w:jc w:val="center"/>
        </w:trPr>
        <w:tc>
          <w:tcPr>
            <w:tcW w:w="754" w:type="dxa"/>
            <w:tcBorders>
              <w:tl2br w:val="nil"/>
              <w:tr2bl w:val="nil"/>
            </w:tcBorders>
            <w:vAlign w:val="center"/>
          </w:tcPr>
          <w:p w14:paraId="1B52E452">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序号</w:t>
            </w:r>
          </w:p>
        </w:tc>
        <w:tc>
          <w:tcPr>
            <w:tcW w:w="1250" w:type="dxa"/>
            <w:tcBorders>
              <w:tl2br w:val="nil"/>
              <w:tr2bl w:val="nil"/>
            </w:tcBorders>
            <w:vAlign w:val="center"/>
          </w:tcPr>
          <w:p w14:paraId="08E2D889">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产品名称</w:t>
            </w:r>
          </w:p>
        </w:tc>
        <w:tc>
          <w:tcPr>
            <w:tcW w:w="1175" w:type="dxa"/>
            <w:tcBorders>
              <w:tl2br w:val="nil"/>
              <w:tr2bl w:val="nil"/>
            </w:tcBorders>
            <w:vAlign w:val="center"/>
          </w:tcPr>
          <w:p w14:paraId="35F04712">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品牌型号</w:t>
            </w:r>
          </w:p>
        </w:tc>
        <w:tc>
          <w:tcPr>
            <w:tcW w:w="1175" w:type="dxa"/>
            <w:tcBorders>
              <w:tl2br w:val="nil"/>
              <w:tr2bl w:val="nil"/>
            </w:tcBorders>
            <w:vAlign w:val="center"/>
          </w:tcPr>
          <w:p w14:paraId="05C15647">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单价（元）</w:t>
            </w:r>
          </w:p>
        </w:tc>
        <w:tc>
          <w:tcPr>
            <w:tcW w:w="1312" w:type="dxa"/>
            <w:tcBorders>
              <w:tl2br w:val="nil"/>
              <w:tr2bl w:val="nil"/>
            </w:tcBorders>
            <w:vAlign w:val="center"/>
          </w:tcPr>
          <w:p w14:paraId="0AC627E4">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数量（套）</w:t>
            </w:r>
          </w:p>
        </w:tc>
        <w:tc>
          <w:tcPr>
            <w:tcW w:w="1638" w:type="dxa"/>
            <w:tcBorders>
              <w:tl2br w:val="nil"/>
              <w:tr2bl w:val="nil"/>
            </w:tcBorders>
            <w:vAlign w:val="center"/>
          </w:tcPr>
          <w:p w14:paraId="3729C8B0">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含税金额总价（注明税率）</w:t>
            </w:r>
          </w:p>
        </w:tc>
      </w:tr>
      <w:tr w14:paraId="76BAE9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0" w:hRule="atLeast"/>
          <w:jc w:val="center"/>
        </w:trPr>
        <w:tc>
          <w:tcPr>
            <w:tcW w:w="754" w:type="dxa"/>
            <w:tcBorders>
              <w:tl2br w:val="nil"/>
              <w:tr2bl w:val="nil"/>
            </w:tcBorders>
            <w:vAlign w:val="center"/>
          </w:tcPr>
          <w:p w14:paraId="62A71086">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p>
        </w:tc>
        <w:tc>
          <w:tcPr>
            <w:tcW w:w="1250" w:type="dxa"/>
            <w:tcBorders>
              <w:tl2br w:val="nil"/>
              <w:tr2bl w:val="nil"/>
            </w:tcBorders>
            <w:vAlign w:val="center"/>
          </w:tcPr>
          <w:p w14:paraId="30945F3F">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c>
          <w:tcPr>
            <w:tcW w:w="1175" w:type="dxa"/>
            <w:tcBorders>
              <w:tl2br w:val="nil"/>
              <w:tr2bl w:val="nil"/>
            </w:tcBorders>
            <w:vAlign w:val="center"/>
          </w:tcPr>
          <w:p w14:paraId="31938B3B">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c>
          <w:tcPr>
            <w:tcW w:w="1175" w:type="dxa"/>
            <w:tcBorders>
              <w:tl2br w:val="nil"/>
              <w:tr2bl w:val="nil"/>
            </w:tcBorders>
            <w:vAlign w:val="center"/>
          </w:tcPr>
          <w:p w14:paraId="6E9384B6">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c>
          <w:tcPr>
            <w:tcW w:w="1312" w:type="dxa"/>
            <w:tcBorders>
              <w:tl2br w:val="nil"/>
              <w:tr2bl w:val="nil"/>
            </w:tcBorders>
            <w:vAlign w:val="center"/>
          </w:tcPr>
          <w:p w14:paraId="73AF4F37">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c>
          <w:tcPr>
            <w:tcW w:w="1638" w:type="dxa"/>
            <w:tcBorders>
              <w:tl2br w:val="nil"/>
              <w:tr2bl w:val="nil"/>
            </w:tcBorders>
            <w:vAlign w:val="center"/>
          </w:tcPr>
          <w:p w14:paraId="1EECDDE6">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r>
      <w:tr w14:paraId="38E0FA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0" w:hRule="atLeast"/>
          <w:jc w:val="center"/>
        </w:trPr>
        <w:tc>
          <w:tcPr>
            <w:tcW w:w="754" w:type="dxa"/>
            <w:tcBorders>
              <w:tl2br w:val="nil"/>
              <w:tr2bl w:val="nil"/>
            </w:tcBorders>
            <w:vAlign w:val="center"/>
          </w:tcPr>
          <w:p w14:paraId="48271E70">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p>
        </w:tc>
        <w:tc>
          <w:tcPr>
            <w:tcW w:w="1250" w:type="dxa"/>
            <w:tcBorders>
              <w:tl2br w:val="nil"/>
              <w:tr2bl w:val="nil"/>
            </w:tcBorders>
            <w:vAlign w:val="center"/>
          </w:tcPr>
          <w:p w14:paraId="0DE78106">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c>
          <w:tcPr>
            <w:tcW w:w="1175" w:type="dxa"/>
            <w:tcBorders>
              <w:tl2br w:val="nil"/>
              <w:tr2bl w:val="nil"/>
            </w:tcBorders>
            <w:vAlign w:val="center"/>
          </w:tcPr>
          <w:p w14:paraId="76299F97">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c>
          <w:tcPr>
            <w:tcW w:w="1175" w:type="dxa"/>
            <w:tcBorders>
              <w:tl2br w:val="nil"/>
              <w:tr2bl w:val="nil"/>
            </w:tcBorders>
            <w:vAlign w:val="center"/>
          </w:tcPr>
          <w:p w14:paraId="25E1123F">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c>
          <w:tcPr>
            <w:tcW w:w="1312" w:type="dxa"/>
            <w:tcBorders>
              <w:tl2br w:val="nil"/>
              <w:tr2bl w:val="nil"/>
            </w:tcBorders>
            <w:vAlign w:val="center"/>
          </w:tcPr>
          <w:p w14:paraId="2F2280B4">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c>
          <w:tcPr>
            <w:tcW w:w="1638" w:type="dxa"/>
            <w:tcBorders>
              <w:tl2br w:val="nil"/>
              <w:tr2bl w:val="nil"/>
            </w:tcBorders>
            <w:vAlign w:val="center"/>
          </w:tcPr>
          <w:p w14:paraId="3F609BFC">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r>
      <w:tr w14:paraId="5FD967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0" w:hRule="atLeast"/>
          <w:jc w:val="center"/>
        </w:trPr>
        <w:tc>
          <w:tcPr>
            <w:tcW w:w="754" w:type="dxa"/>
            <w:tcBorders>
              <w:tl2br w:val="nil"/>
              <w:tr2bl w:val="nil"/>
            </w:tcBorders>
            <w:vAlign w:val="center"/>
          </w:tcPr>
          <w:p w14:paraId="25737995">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1250" w:type="dxa"/>
            <w:tcBorders>
              <w:tl2br w:val="nil"/>
              <w:tr2bl w:val="nil"/>
            </w:tcBorders>
            <w:vAlign w:val="center"/>
          </w:tcPr>
          <w:p w14:paraId="61211496">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备注</w:t>
            </w:r>
          </w:p>
        </w:tc>
        <w:tc>
          <w:tcPr>
            <w:tcW w:w="5300" w:type="dxa"/>
            <w:gridSpan w:val="4"/>
            <w:tcBorders>
              <w:tl2br w:val="nil"/>
              <w:tr2bl w:val="nil"/>
            </w:tcBorders>
            <w:vAlign w:val="center"/>
          </w:tcPr>
          <w:p w14:paraId="23C5AEAF">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p>
        </w:tc>
      </w:tr>
    </w:tbl>
    <w:p w14:paraId="1AC9E389">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注：</w:t>
      </w:r>
      <w:r>
        <w:rPr>
          <w:rFonts w:hint="eastAsia" w:ascii="仿宋_GB2312" w:hAnsi="仿宋_GB2312" w:eastAsia="仿宋_GB2312" w:cs="仿宋_GB2312"/>
          <w:color w:val="auto"/>
          <w:sz w:val="28"/>
          <w:szCs w:val="28"/>
          <w:highlight w:val="none"/>
          <w:lang w:val="zh-CN" w:eastAsia="zh-CN"/>
        </w:rPr>
        <w:t>以上《</w:t>
      </w:r>
      <w:r>
        <w:rPr>
          <w:rFonts w:hint="eastAsia" w:ascii="仿宋_GB2312" w:hAnsi="仿宋_GB2312" w:eastAsia="仿宋_GB2312" w:cs="仿宋_GB2312"/>
          <w:color w:val="auto"/>
          <w:sz w:val="28"/>
          <w:szCs w:val="28"/>
          <w:highlight w:val="none"/>
          <w:lang w:val="en-US" w:eastAsia="zh-CN"/>
        </w:rPr>
        <w:t>报价</w:t>
      </w:r>
      <w:r>
        <w:rPr>
          <w:rFonts w:hint="eastAsia" w:ascii="仿宋_GB2312" w:hAnsi="仿宋_GB2312" w:eastAsia="仿宋_GB2312" w:cs="仿宋_GB2312"/>
          <w:color w:val="auto"/>
          <w:sz w:val="28"/>
          <w:szCs w:val="28"/>
          <w:highlight w:val="none"/>
          <w:lang w:val="zh-CN" w:eastAsia="zh-CN"/>
        </w:rPr>
        <w:t>表》作响应需求使用，请</w:t>
      </w:r>
      <w:r>
        <w:rPr>
          <w:rFonts w:hint="eastAsia" w:ascii="仿宋_GB2312" w:hAnsi="仿宋_GB2312" w:eastAsia="仿宋_GB2312" w:cs="仿宋_GB2312"/>
          <w:color w:val="auto"/>
          <w:sz w:val="28"/>
          <w:szCs w:val="28"/>
          <w:highlight w:val="none"/>
          <w:lang w:val="en-US" w:eastAsia="zh-CN"/>
        </w:rPr>
        <w:t>投标人将报价表附于投标文件内</w:t>
      </w:r>
      <w:r>
        <w:rPr>
          <w:rFonts w:hint="eastAsia" w:ascii="仿宋_GB2312" w:hAnsi="仿宋_GB2312" w:eastAsia="仿宋_GB2312" w:cs="仿宋_GB2312"/>
          <w:color w:val="auto"/>
          <w:sz w:val="28"/>
          <w:szCs w:val="28"/>
          <w:highlight w:val="none"/>
          <w:lang w:val="zh-CN" w:eastAsia="zh-CN"/>
        </w:rPr>
        <w:t>一起递交。</w:t>
      </w:r>
    </w:p>
    <w:p w14:paraId="58DD748E">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投标人：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zh-CN" w:eastAsia="zh-CN"/>
        </w:rPr>
        <w:t>（盖单位公章）</w:t>
      </w:r>
    </w:p>
    <w:p w14:paraId="59EE5A57">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法定代表人（单位负责人）或其委托代理人：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zh-CN" w:eastAsia="zh-CN"/>
        </w:rPr>
        <w:t>（签字</w:t>
      </w:r>
      <w:r>
        <w:rPr>
          <w:rFonts w:hint="default" w:ascii="仿宋_GB2312" w:hAnsi="仿宋_GB2312" w:eastAsia="仿宋_GB2312" w:cs="仿宋_GB2312"/>
          <w:color w:val="auto"/>
          <w:sz w:val="28"/>
          <w:szCs w:val="28"/>
          <w:highlight w:val="none"/>
          <w:lang w:val="en-US" w:eastAsia="zh-CN"/>
        </w:rPr>
        <w:t>和加</w:t>
      </w:r>
      <w:r>
        <w:rPr>
          <w:rFonts w:hint="eastAsia" w:ascii="仿宋_GB2312" w:hAnsi="仿宋_GB2312" w:eastAsia="仿宋_GB2312" w:cs="仿宋_GB2312"/>
          <w:color w:val="auto"/>
          <w:sz w:val="28"/>
          <w:szCs w:val="28"/>
          <w:highlight w:val="none"/>
          <w:lang w:val="zh-CN" w:eastAsia="zh-CN"/>
        </w:rPr>
        <w:t>盖单位公章）</w:t>
      </w:r>
    </w:p>
    <w:p w14:paraId="5E130196">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时间：</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zh-CN" w:eastAsia="zh-CN"/>
        </w:rPr>
        <w:t>年</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zh-CN" w:eastAsia="zh-CN"/>
        </w:rPr>
        <w:t>月</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zh-CN" w:eastAsia="zh-CN"/>
        </w:rPr>
        <w:t>日</w:t>
      </w:r>
      <w:bookmarkEnd w:id="657"/>
      <w:bookmarkEnd w:id="658"/>
      <w:bookmarkEnd w:id="659"/>
      <w:bookmarkStart w:id="684" w:name="_Toc27072"/>
      <w:bookmarkStart w:id="685" w:name="_Toc15882"/>
      <w:bookmarkStart w:id="686" w:name="_Toc4240"/>
      <w:bookmarkStart w:id="687" w:name="_Toc12522"/>
    </w:p>
    <w:p w14:paraId="7BB82665">
      <w:pPr>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br w:type="page"/>
      </w:r>
    </w:p>
    <w:p w14:paraId="3BEC1CD6">
      <w:pPr>
        <w:keepNext w:val="0"/>
        <w:keepLines w:val="0"/>
        <w:pageBreakBefore w:val="0"/>
        <w:numPr>
          <w:ilvl w:val="0"/>
          <w:numId w:val="0"/>
        </w:numPr>
        <w:overflowPunct/>
        <w:bidi w:val="0"/>
        <w:spacing w:line="360" w:lineRule="auto"/>
        <w:jc w:val="center"/>
        <w:outlineLvl w:val="1"/>
        <w:rPr>
          <w:rFonts w:hint="eastAsia" w:ascii="仿宋_GB2312" w:hAnsi="仿宋_GB2312" w:eastAsia="仿宋_GB2312" w:cs="仿宋_GB2312"/>
          <w:b/>
          <w:bCs/>
          <w:color w:val="auto"/>
          <w:sz w:val="28"/>
          <w:szCs w:val="28"/>
          <w:highlight w:val="none"/>
          <w:lang w:val="en-US" w:eastAsia="zh-CN"/>
        </w:rPr>
      </w:pPr>
      <w:bookmarkStart w:id="688" w:name="_Toc961"/>
      <w:bookmarkStart w:id="689" w:name="_Toc22187"/>
      <w:bookmarkStart w:id="690" w:name="_Toc11338"/>
      <w:bookmarkStart w:id="691" w:name="_Toc9390"/>
      <w:bookmarkStart w:id="692" w:name="_Toc16932"/>
      <w:bookmarkStart w:id="693" w:name="_Toc15938"/>
      <w:bookmarkStart w:id="694" w:name="_Toc26014"/>
      <w:bookmarkStart w:id="695" w:name="_Toc30759"/>
      <w:bookmarkStart w:id="696" w:name="_Toc8770"/>
      <w:bookmarkStart w:id="697" w:name="_Toc19701"/>
      <w:bookmarkStart w:id="698" w:name="_Toc8499"/>
      <w:bookmarkStart w:id="699" w:name="_Toc4054"/>
      <w:bookmarkStart w:id="700" w:name="_Toc5948"/>
      <w:bookmarkStart w:id="701" w:name="_Toc18738"/>
      <w:bookmarkStart w:id="702" w:name="_Toc19597"/>
      <w:bookmarkStart w:id="703" w:name="_Toc15263"/>
      <w:bookmarkStart w:id="704" w:name="_Toc9861"/>
      <w:bookmarkStart w:id="705" w:name="_Toc32463"/>
      <w:bookmarkStart w:id="706" w:name="_Toc4805"/>
      <w:bookmarkStart w:id="707" w:name="_Toc9724"/>
      <w:bookmarkStart w:id="708" w:name="_Toc22501"/>
      <w:bookmarkStart w:id="709" w:name="_Toc23004"/>
      <w:bookmarkStart w:id="710" w:name="_Toc28853"/>
      <w:bookmarkStart w:id="711" w:name="_Toc27138"/>
      <w:r>
        <w:rPr>
          <w:rFonts w:hint="eastAsia" w:ascii="仿宋_GB2312" w:hAnsi="仿宋_GB2312" w:eastAsia="仿宋_GB2312" w:cs="仿宋_GB2312"/>
          <w:b/>
          <w:bCs/>
          <w:color w:val="auto"/>
          <w:sz w:val="28"/>
          <w:szCs w:val="28"/>
          <w:highlight w:val="none"/>
          <w:lang w:val="en-US" w:eastAsia="zh-CN"/>
        </w:rPr>
        <w:t>四、技术参数及要求响应偏离表</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tbl>
      <w:tblPr>
        <w:tblStyle w:val="24"/>
        <w:tblW w:w="88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4"/>
        <w:gridCol w:w="1230"/>
        <w:gridCol w:w="1361"/>
        <w:gridCol w:w="2781"/>
        <w:gridCol w:w="1543"/>
        <w:gridCol w:w="1209"/>
      </w:tblGrid>
      <w:tr w14:paraId="7D4BC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jc w:val="center"/>
        </w:trPr>
        <w:tc>
          <w:tcPr>
            <w:tcW w:w="694" w:type="dxa"/>
            <w:vAlign w:val="center"/>
          </w:tcPr>
          <w:p w14:paraId="77F5FB84">
            <w:pPr>
              <w:keepNext w:val="0"/>
              <w:keepLines w:val="0"/>
              <w:pageBreakBefore w:val="0"/>
              <w:overflowPunct/>
              <w:bidi w:val="0"/>
              <w:spacing w:line="360" w:lineRule="auto"/>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序号</w:t>
            </w:r>
          </w:p>
        </w:tc>
        <w:tc>
          <w:tcPr>
            <w:tcW w:w="1230" w:type="dxa"/>
            <w:vAlign w:val="center"/>
          </w:tcPr>
          <w:p w14:paraId="1D9298EE">
            <w:pPr>
              <w:keepNext w:val="0"/>
              <w:keepLines w:val="0"/>
              <w:pageBreakBefore w:val="0"/>
              <w:overflowPunct/>
              <w:bidi w:val="0"/>
              <w:spacing w:line="360" w:lineRule="auto"/>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产品名称</w:t>
            </w:r>
          </w:p>
        </w:tc>
        <w:tc>
          <w:tcPr>
            <w:tcW w:w="1361" w:type="dxa"/>
            <w:vAlign w:val="center"/>
          </w:tcPr>
          <w:p w14:paraId="54F5B066">
            <w:pPr>
              <w:keepNext w:val="0"/>
              <w:keepLines w:val="0"/>
              <w:pageBreakBefore w:val="0"/>
              <w:overflowPunct/>
              <w:bidi w:val="0"/>
              <w:spacing w:line="360" w:lineRule="auto"/>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品牌型号</w:t>
            </w:r>
          </w:p>
        </w:tc>
        <w:tc>
          <w:tcPr>
            <w:tcW w:w="2781" w:type="dxa"/>
            <w:vAlign w:val="center"/>
          </w:tcPr>
          <w:p w14:paraId="1FB59FD9">
            <w:pPr>
              <w:keepNext w:val="0"/>
              <w:keepLines w:val="0"/>
              <w:pageBreakBefore w:val="0"/>
              <w:overflowPunct/>
              <w:bidi w:val="0"/>
              <w:spacing w:line="360" w:lineRule="auto"/>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技术参数及要求</w:t>
            </w:r>
          </w:p>
        </w:tc>
        <w:tc>
          <w:tcPr>
            <w:tcW w:w="1543" w:type="dxa"/>
            <w:vAlign w:val="center"/>
          </w:tcPr>
          <w:p w14:paraId="6BA4337F">
            <w:pPr>
              <w:keepNext w:val="0"/>
              <w:keepLines w:val="0"/>
              <w:pageBreakBefore w:val="0"/>
              <w:overflowPunct/>
              <w:bidi w:val="0"/>
              <w:spacing w:line="360" w:lineRule="auto"/>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响应配置</w:t>
            </w:r>
          </w:p>
        </w:tc>
        <w:tc>
          <w:tcPr>
            <w:tcW w:w="1209" w:type="dxa"/>
            <w:vAlign w:val="center"/>
          </w:tcPr>
          <w:p w14:paraId="5062AF76">
            <w:pPr>
              <w:keepNext w:val="0"/>
              <w:keepLines w:val="0"/>
              <w:pageBreakBefore w:val="0"/>
              <w:overflowPunct/>
              <w:bidi w:val="0"/>
              <w:spacing w:line="360" w:lineRule="auto"/>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响应情况</w:t>
            </w:r>
          </w:p>
        </w:tc>
      </w:tr>
      <w:tr w14:paraId="7A74E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jc w:val="center"/>
        </w:trPr>
        <w:tc>
          <w:tcPr>
            <w:tcW w:w="694" w:type="dxa"/>
            <w:vAlign w:val="top"/>
          </w:tcPr>
          <w:p w14:paraId="0A5DBEEA">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1</w:t>
            </w:r>
          </w:p>
        </w:tc>
        <w:tc>
          <w:tcPr>
            <w:tcW w:w="1230" w:type="dxa"/>
            <w:vAlign w:val="top"/>
          </w:tcPr>
          <w:p w14:paraId="21761488">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1361" w:type="dxa"/>
            <w:vAlign w:val="top"/>
          </w:tcPr>
          <w:p w14:paraId="7ED2A207">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2781" w:type="dxa"/>
            <w:vAlign w:val="top"/>
          </w:tcPr>
          <w:p w14:paraId="3B3AC9B0">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1543" w:type="dxa"/>
            <w:vAlign w:val="top"/>
          </w:tcPr>
          <w:p w14:paraId="6C5D3AB8">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1209" w:type="dxa"/>
            <w:vAlign w:val="top"/>
          </w:tcPr>
          <w:p w14:paraId="43492498">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r>
      <w:tr w14:paraId="6996D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jc w:val="center"/>
        </w:trPr>
        <w:tc>
          <w:tcPr>
            <w:tcW w:w="694" w:type="dxa"/>
            <w:vAlign w:val="top"/>
          </w:tcPr>
          <w:p w14:paraId="2B3A8FCF">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2</w:t>
            </w:r>
          </w:p>
        </w:tc>
        <w:tc>
          <w:tcPr>
            <w:tcW w:w="1230" w:type="dxa"/>
            <w:vAlign w:val="top"/>
          </w:tcPr>
          <w:p w14:paraId="748EE1F6">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1361" w:type="dxa"/>
            <w:vAlign w:val="top"/>
          </w:tcPr>
          <w:p w14:paraId="0D4F2B4C">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2781" w:type="dxa"/>
            <w:vAlign w:val="top"/>
          </w:tcPr>
          <w:p w14:paraId="0DC9C45F">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1543" w:type="dxa"/>
            <w:vAlign w:val="top"/>
          </w:tcPr>
          <w:p w14:paraId="6136340A">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1209" w:type="dxa"/>
            <w:vAlign w:val="top"/>
          </w:tcPr>
          <w:p w14:paraId="410F4343">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r>
      <w:tr w14:paraId="60DC4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jc w:val="center"/>
        </w:trPr>
        <w:tc>
          <w:tcPr>
            <w:tcW w:w="694" w:type="dxa"/>
            <w:vAlign w:val="top"/>
          </w:tcPr>
          <w:p w14:paraId="30B3A2EC">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lang w:val="en-US" w:eastAsia="zh-CN"/>
              </w:rPr>
            </w:pPr>
            <w:r>
              <w:rPr>
                <w:rFonts w:hint="eastAsia" w:ascii="仿宋_GB2312" w:hAnsi="仿宋_GB2312" w:eastAsia="仿宋_GB2312" w:cs="仿宋_GB2312"/>
                <w:b w:val="0"/>
                <w:bCs w:val="0"/>
                <w:color w:val="auto"/>
                <w:sz w:val="28"/>
                <w:szCs w:val="28"/>
                <w:highlight w:val="none"/>
                <w:lang w:val="en-US" w:eastAsia="zh-CN"/>
              </w:rPr>
              <w:t>3</w:t>
            </w:r>
          </w:p>
        </w:tc>
        <w:tc>
          <w:tcPr>
            <w:tcW w:w="1230" w:type="dxa"/>
            <w:vAlign w:val="top"/>
          </w:tcPr>
          <w:p w14:paraId="5C17D260">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1361" w:type="dxa"/>
            <w:vAlign w:val="top"/>
          </w:tcPr>
          <w:p w14:paraId="58CA9119">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2781" w:type="dxa"/>
            <w:vAlign w:val="top"/>
          </w:tcPr>
          <w:p w14:paraId="5D70CF41">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1543" w:type="dxa"/>
            <w:vAlign w:val="top"/>
          </w:tcPr>
          <w:p w14:paraId="6B48FEBE">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c>
          <w:tcPr>
            <w:tcW w:w="1209" w:type="dxa"/>
            <w:vAlign w:val="top"/>
          </w:tcPr>
          <w:p w14:paraId="4D0369AC">
            <w:pPr>
              <w:keepNext w:val="0"/>
              <w:keepLines w:val="0"/>
              <w:pageBreakBefore w:val="0"/>
              <w:overflowPunct/>
              <w:bidi w:val="0"/>
              <w:spacing w:line="360" w:lineRule="auto"/>
              <w:jc w:val="center"/>
              <w:rPr>
                <w:rFonts w:hint="eastAsia" w:ascii="仿宋_GB2312" w:hAnsi="仿宋_GB2312" w:eastAsia="仿宋_GB2312" w:cs="仿宋_GB2312"/>
                <w:b w:val="0"/>
                <w:bCs w:val="0"/>
                <w:color w:val="auto"/>
                <w:sz w:val="28"/>
                <w:szCs w:val="28"/>
                <w:highlight w:val="none"/>
              </w:rPr>
            </w:pPr>
          </w:p>
        </w:tc>
      </w:tr>
    </w:tbl>
    <w:p w14:paraId="71968125">
      <w:pPr>
        <w:keepNext w:val="0"/>
        <w:keepLines w:val="0"/>
        <w:pageBreakBefore w:val="0"/>
        <w:widowControl/>
        <w:kinsoku w:val="0"/>
        <w:wordWrap/>
        <w:overflowPunct/>
        <w:topLinePunct w:val="0"/>
        <w:autoSpaceDE w:val="0"/>
        <w:autoSpaceDN w:val="0"/>
        <w:bidi w:val="0"/>
        <w:adjustRightInd w:val="0"/>
        <w:snapToGrid w:val="0"/>
        <w:spacing w:before="91" w:line="360" w:lineRule="auto"/>
        <w:ind w:left="607" w:right="748" w:hanging="6"/>
        <w:textAlignment w:val="baseline"/>
        <w:rPr>
          <w:rFonts w:hint="eastAsia" w:ascii="仿宋_GB2312" w:hAnsi="仿宋_GB2312" w:eastAsia="仿宋_GB2312" w:cs="仿宋_GB2312"/>
          <w:b w:val="0"/>
          <w:bCs w:val="0"/>
          <w:color w:val="auto"/>
          <w:spacing w:val="17"/>
          <w:sz w:val="28"/>
          <w:szCs w:val="28"/>
          <w:highlight w:val="none"/>
        </w:rPr>
      </w:pPr>
      <w:r>
        <w:rPr>
          <w:rFonts w:hint="eastAsia" w:ascii="仿宋_GB2312" w:hAnsi="仿宋_GB2312" w:eastAsia="仿宋_GB2312" w:cs="仿宋_GB2312"/>
          <w:color w:val="auto"/>
          <w:sz w:val="28"/>
          <w:szCs w:val="28"/>
          <w:highlight w:val="none"/>
          <w:lang w:val="en-US" w:eastAsia="zh-CN"/>
        </w:rPr>
        <w:t>投标人：</w:t>
      </w:r>
      <w:r>
        <w:rPr>
          <w:rFonts w:hint="eastAsia" w:ascii="仿宋_GB2312" w:hAnsi="仿宋_GB2312" w:eastAsia="仿宋_GB2312" w:cs="仿宋_GB2312"/>
          <w:b w:val="0"/>
          <w:bCs w:val="0"/>
          <w:color w:val="auto"/>
          <w:sz w:val="28"/>
          <w:szCs w:val="28"/>
          <w:highlight w:val="none"/>
          <w:u w:val="single" w:color="auto"/>
        </w:rPr>
        <w:t xml:space="preserve">                        </w:t>
      </w:r>
      <w:r>
        <w:rPr>
          <w:rFonts w:hint="eastAsia" w:ascii="仿宋_GB2312" w:hAnsi="仿宋_GB2312" w:eastAsia="仿宋_GB2312" w:cs="仿宋_GB2312"/>
          <w:color w:val="auto"/>
          <w:sz w:val="28"/>
          <w:szCs w:val="28"/>
          <w:highlight w:val="none"/>
          <w:lang w:val="en-US" w:eastAsia="zh-CN"/>
        </w:rPr>
        <w:t>（盖单位盖章）</w:t>
      </w:r>
    </w:p>
    <w:p w14:paraId="54CF1B9D">
      <w:pPr>
        <w:keepNext w:val="0"/>
        <w:keepLines w:val="0"/>
        <w:pageBreakBefore w:val="0"/>
        <w:widowControl/>
        <w:kinsoku w:val="0"/>
        <w:wordWrap/>
        <w:overflowPunct/>
        <w:topLinePunct w:val="0"/>
        <w:autoSpaceDE w:val="0"/>
        <w:autoSpaceDN w:val="0"/>
        <w:bidi w:val="0"/>
        <w:adjustRightInd w:val="0"/>
        <w:snapToGrid w:val="0"/>
        <w:spacing w:before="91" w:line="360" w:lineRule="auto"/>
        <w:ind w:left="607" w:right="748" w:hanging="6"/>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授权代表（签字）：</w:t>
      </w:r>
      <w:r>
        <w:rPr>
          <w:rFonts w:hint="eastAsia" w:ascii="仿宋_GB2312" w:hAnsi="仿宋_GB2312" w:eastAsia="仿宋_GB2312" w:cs="仿宋_GB2312"/>
          <w:b w:val="0"/>
          <w:bCs w:val="0"/>
          <w:color w:val="auto"/>
          <w:sz w:val="28"/>
          <w:szCs w:val="28"/>
          <w:highlight w:val="none"/>
          <w:u w:val="single" w:color="auto"/>
        </w:rPr>
        <w:t xml:space="preserve">         </w:t>
      </w:r>
      <w:r>
        <w:rPr>
          <w:rFonts w:hint="eastAsia" w:ascii="仿宋_GB2312" w:hAnsi="仿宋_GB2312" w:eastAsia="仿宋_GB2312" w:cs="仿宋_GB2312"/>
          <w:b w:val="0"/>
          <w:bCs w:val="0"/>
          <w:color w:val="auto"/>
          <w:sz w:val="28"/>
          <w:szCs w:val="28"/>
          <w:highlight w:val="none"/>
          <w:u w:val="single" w:color="auto"/>
          <w:lang w:val="en-US" w:eastAsia="zh-CN"/>
        </w:rPr>
        <w:t xml:space="preserve">         </w:t>
      </w:r>
      <w:r>
        <w:rPr>
          <w:rFonts w:hint="eastAsia" w:ascii="仿宋_GB2312" w:hAnsi="仿宋_GB2312" w:eastAsia="仿宋_GB2312" w:cs="仿宋_GB2312"/>
          <w:b w:val="0"/>
          <w:bCs w:val="0"/>
          <w:color w:val="auto"/>
          <w:sz w:val="28"/>
          <w:szCs w:val="28"/>
          <w:highlight w:val="none"/>
          <w:u w:val="single" w:color="auto"/>
        </w:rPr>
        <w:t xml:space="preserve">       </w:t>
      </w:r>
    </w:p>
    <w:p w14:paraId="1367EF61">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注：依据本招标文件的“技术参数及要求”，填写</w:t>
      </w:r>
      <w:r>
        <w:rPr>
          <w:rFonts w:hint="eastAsia" w:ascii="仿宋_GB2312" w:hAnsi="仿宋_GB2312" w:eastAsia="仿宋_GB2312" w:cs="仿宋_GB2312"/>
          <w:b w:val="0"/>
          <w:bCs w:val="0"/>
          <w:color w:val="auto"/>
          <w:sz w:val="28"/>
          <w:szCs w:val="28"/>
          <w:highlight w:val="none"/>
          <w:lang w:val="en-US" w:eastAsia="zh-CN"/>
        </w:rPr>
        <w:t>“技术参数及要求响应偏离表”。</w:t>
      </w:r>
    </w:p>
    <w:p w14:paraId="1363BA2B">
      <w:pPr>
        <w:keepNext w:val="0"/>
        <w:keepLines w:val="0"/>
        <w:pageBreakBefore w:val="0"/>
        <w:overflowPunct/>
        <w:bidi w:val="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br w:type="page"/>
      </w:r>
    </w:p>
    <w:p w14:paraId="2C76A593">
      <w:pPr>
        <w:keepNext w:val="0"/>
        <w:keepLines w:val="0"/>
        <w:pageBreakBefore w:val="0"/>
        <w:overflowPunct/>
        <w:bidi w:val="0"/>
        <w:spacing w:line="360" w:lineRule="auto"/>
        <w:ind w:firstLine="562" w:firstLineChars="200"/>
        <w:jc w:val="center"/>
        <w:outlineLvl w:val="1"/>
        <w:rPr>
          <w:rFonts w:hint="eastAsia" w:ascii="仿宋_GB2312" w:hAnsi="仿宋_GB2312" w:eastAsia="仿宋_GB2312" w:cs="仿宋_GB2312"/>
          <w:b/>
          <w:bCs/>
          <w:color w:val="auto"/>
          <w:sz w:val="28"/>
          <w:szCs w:val="28"/>
          <w:highlight w:val="none"/>
          <w:lang w:val="en-US" w:eastAsia="zh-CN"/>
        </w:rPr>
      </w:pPr>
      <w:bookmarkStart w:id="712" w:name="_Toc31218"/>
      <w:bookmarkStart w:id="713" w:name="_Toc10250"/>
      <w:bookmarkStart w:id="714" w:name="_Toc5722"/>
      <w:bookmarkStart w:id="715" w:name="_Toc1341"/>
      <w:bookmarkStart w:id="716" w:name="_Toc22091"/>
      <w:bookmarkStart w:id="717" w:name="_Toc7403"/>
      <w:bookmarkStart w:id="718" w:name="_Toc31567"/>
      <w:bookmarkStart w:id="719" w:name="_Toc16390"/>
      <w:bookmarkStart w:id="720" w:name="_Toc24652"/>
      <w:bookmarkStart w:id="721" w:name="_Toc544"/>
      <w:bookmarkStart w:id="722" w:name="_Toc24319"/>
      <w:bookmarkStart w:id="723" w:name="_Toc28052"/>
      <w:bookmarkStart w:id="724" w:name="_Toc16603"/>
      <w:bookmarkStart w:id="725" w:name="_Toc24750"/>
      <w:bookmarkStart w:id="726" w:name="_Toc12510"/>
      <w:bookmarkStart w:id="727" w:name="_Toc21819"/>
      <w:bookmarkStart w:id="728" w:name="_Toc18602"/>
      <w:bookmarkStart w:id="729" w:name="_Toc18549"/>
      <w:bookmarkStart w:id="730" w:name="_Toc29480"/>
      <w:bookmarkStart w:id="731" w:name="_Toc14051"/>
      <w:bookmarkStart w:id="732" w:name="_Toc7581"/>
      <w:bookmarkStart w:id="733" w:name="_Toc15267"/>
      <w:bookmarkStart w:id="734" w:name="_Toc2695"/>
      <w:bookmarkStart w:id="735" w:name="_Toc21903"/>
      <w:r>
        <w:rPr>
          <w:rFonts w:hint="eastAsia" w:ascii="仿宋_GB2312" w:hAnsi="仿宋_GB2312" w:eastAsia="仿宋_GB2312" w:cs="仿宋_GB2312"/>
          <w:b/>
          <w:bCs/>
          <w:color w:val="auto"/>
          <w:sz w:val="28"/>
          <w:szCs w:val="28"/>
          <w:highlight w:val="none"/>
          <w:lang w:val="en-US" w:eastAsia="zh-CN"/>
        </w:rPr>
        <w:t>五、法定代表人（单位负责人）身份证明</w:t>
      </w:r>
      <w:bookmarkEnd w:id="684"/>
      <w:bookmarkEnd w:id="685"/>
      <w:bookmarkEnd w:id="686"/>
      <w:bookmarkEnd w:id="687"/>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14:paraId="481AFB38">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投标人名称：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 xml:space="preserve">                                       </w:t>
      </w:r>
    </w:p>
    <w:p w14:paraId="73EF90E8">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姓名：</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性别：</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年龄：</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职务：</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 xml:space="preserve">  </w:t>
      </w:r>
    </w:p>
    <w:p w14:paraId="6C42F3D5">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系</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（投标人单位名称）的法定代表人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（单位负责人）。</w:t>
      </w:r>
    </w:p>
    <w:p w14:paraId="32D5130B">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特此证明。</w:t>
      </w:r>
    </w:p>
    <w:p w14:paraId="000FF7F8">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附：法定代表人（单位负责人）身份证扫描件。</w:t>
      </w:r>
    </w:p>
    <w:p w14:paraId="2B921FEB">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注：本身份证明须由投标人加盖单位公章。</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5"/>
        <w:gridCol w:w="4357"/>
      </w:tblGrid>
      <w:tr w14:paraId="4CDC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8" w:hRule="atLeast"/>
        </w:trPr>
        <w:tc>
          <w:tcPr>
            <w:tcW w:w="4165" w:type="dxa"/>
            <w:noWrap w:val="0"/>
            <w:vAlign w:val="center"/>
          </w:tcPr>
          <w:p w14:paraId="5C6A9487">
            <w:pPr>
              <w:keepNext w:val="0"/>
              <w:keepLines w:val="0"/>
              <w:pageBreakBefore w:val="0"/>
              <w:suppressLineNumbers w:val="0"/>
              <w:overflowPunct/>
              <w:bidi w:val="0"/>
              <w:spacing w:before="0" w:beforeAutospacing="0" w:after="0" w:afterAutospacing="0" w:line="360" w:lineRule="auto"/>
              <w:ind w:left="0" w:right="0"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法定代表人（单位负责人）</w:t>
            </w:r>
          </w:p>
          <w:p w14:paraId="06AB5058">
            <w:pPr>
              <w:keepNext w:val="0"/>
              <w:keepLines w:val="0"/>
              <w:pageBreakBefore w:val="0"/>
              <w:suppressLineNumbers w:val="0"/>
              <w:overflowPunct/>
              <w:bidi w:val="0"/>
              <w:spacing w:before="0" w:beforeAutospacing="0" w:after="0" w:afterAutospacing="0" w:line="360" w:lineRule="auto"/>
              <w:ind w:left="0" w:right="0"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身份证明复制件（国徽面）</w:t>
            </w:r>
          </w:p>
        </w:tc>
        <w:tc>
          <w:tcPr>
            <w:tcW w:w="4357" w:type="dxa"/>
            <w:noWrap w:val="0"/>
            <w:vAlign w:val="center"/>
          </w:tcPr>
          <w:p w14:paraId="3DAFE119">
            <w:pPr>
              <w:keepNext w:val="0"/>
              <w:keepLines w:val="0"/>
              <w:pageBreakBefore w:val="0"/>
              <w:suppressLineNumbers w:val="0"/>
              <w:overflowPunct/>
              <w:bidi w:val="0"/>
              <w:spacing w:before="0" w:beforeAutospacing="0" w:after="0" w:afterAutospacing="0" w:line="360" w:lineRule="auto"/>
              <w:ind w:left="0" w:right="0" w:firstLine="560" w:firstLineChars="20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法定代表人（单位负责人）</w:t>
            </w:r>
          </w:p>
          <w:p w14:paraId="64561EF1">
            <w:pPr>
              <w:keepNext w:val="0"/>
              <w:keepLines w:val="0"/>
              <w:pageBreakBefore w:val="0"/>
              <w:suppressLineNumbers w:val="0"/>
              <w:overflowPunct/>
              <w:bidi w:val="0"/>
              <w:spacing w:before="0" w:beforeAutospacing="0" w:after="0" w:afterAutospacing="0" w:line="360" w:lineRule="auto"/>
              <w:ind w:left="0" w:right="0"/>
              <w:jc w:val="both"/>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身份证明复制件（持证人</w:t>
            </w:r>
            <w:r>
              <w:rPr>
                <w:rFonts w:hint="default" w:ascii="仿宋_GB2312" w:hAnsi="仿宋_GB2312" w:eastAsia="仿宋_GB2312" w:cs="仿宋_GB2312"/>
                <w:color w:val="auto"/>
                <w:sz w:val="28"/>
                <w:szCs w:val="28"/>
                <w:highlight w:val="none"/>
                <w:lang w:val="en-US" w:eastAsia="zh-CN"/>
              </w:rPr>
              <w:t>照片</w:t>
            </w:r>
            <w:r>
              <w:rPr>
                <w:rFonts w:hint="eastAsia" w:ascii="仿宋_GB2312" w:hAnsi="仿宋_GB2312" w:eastAsia="仿宋_GB2312" w:cs="仿宋_GB2312"/>
                <w:color w:val="auto"/>
                <w:sz w:val="28"/>
                <w:szCs w:val="28"/>
                <w:highlight w:val="none"/>
                <w:lang w:val="en-US" w:eastAsia="zh-CN"/>
              </w:rPr>
              <w:t>）</w:t>
            </w:r>
          </w:p>
        </w:tc>
      </w:tr>
    </w:tbl>
    <w:p w14:paraId="08D58740">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p>
    <w:p w14:paraId="1C4DF9BE">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（盖单位公章）</w:t>
      </w:r>
    </w:p>
    <w:p w14:paraId="745FE893">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法定代表人（单位负责人）：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（签字</w:t>
      </w:r>
      <w:r>
        <w:rPr>
          <w:rFonts w:hint="default" w:ascii="仿宋_GB2312" w:hAnsi="仿宋_GB2312" w:eastAsia="仿宋_GB2312" w:cs="仿宋_GB2312"/>
          <w:color w:val="auto"/>
          <w:sz w:val="28"/>
          <w:szCs w:val="28"/>
          <w:highlight w:val="none"/>
          <w:lang w:val="en-US" w:eastAsia="zh-CN"/>
        </w:rPr>
        <w:t>和加</w:t>
      </w:r>
      <w:r>
        <w:rPr>
          <w:rFonts w:hint="eastAsia" w:ascii="仿宋_GB2312" w:hAnsi="仿宋_GB2312" w:eastAsia="仿宋_GB2312" w:cs="仿宋_GB2312"/>
          <w:color w:val="auto"/>
          <w:sz w:val="28"/>
          <w:szCs w:val="28"/>
          <w:highlight w:val="none"/>
          <w:lang w:val="en-US" w:eastAsia="zh-CN"/>
        </w:rPr>
        <w:t>盖单位公章）</w:t>
      </w:r>
    </w:p>
    <w:p w14:paraId="5AE3A461">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时间：</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年</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月</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日</w:t>
      </w:r>
    </w:p>
    <w:p w14:paraId="4E2F3394">
      <w:pPr>
        <w:keepNext w:val="0"/>
        <w:keepLines w:val="0"/>
        <w:pageBreakBefore w:val="0"/>
        <w:overflowPunct/>
        <w:bidi w:val="0"/>
        <w:spacing w:line="360" w:lineRule="auto"/>
        <w:rPr>
          <w:rFonts w:hint="eastAsia" w:ascii="仿宋_GB2312" w:hAnsi="仿宋_GB2312" w:eastAsia="仿宋_GB2312" w:cs="仿宋_GB2312"/>
          <w:b/>
          <w:bCs/>
          <w:color w:val="auto"/>
          <w:sz w:val="28"/>
          <w:szCs w:val="28"/>
          <w:highlight w:val="none"/>
          <w:lang w:val="en-US" w:eastAsia="zh-CN"/>
        </w:rPr>
      </w:pPr>
      <w:bookmarkStart w:id="736" w:name="_Toc3358"/>
      <w:bookmarkStart w:id="737" w:name="_Toc3769"/>
      <w:bookmarkStart w:id="738" w:name="_Toc12863"/>
      <w:bookmarkStart w:id="739" w:name="_Toc9781"/>
      <w:r>
        <w:rPr>
          <w:rFonts w:hint="eastAsia" w:ascii="仿宋_GB2312" w:hAnsi="仿宋_GB2312" w:eastAsia="仿宋_GB2312" w:cs="仿宋_GB2312"/>
          <w:b/>
          <w:bCs/>
          <w:color w:val="auto"/>
          <w:sz w:val="28"/>
          <w:szCs w:val="28"/>
          <w:highlight w:val="none"/>
          <w:lang w:val="en-US" w:eastAsia="zh-CN"/>
        </w:rPr>
        <w:br w:type="page"/>
      </w:r>
    </w:p>
    <w:p w14:paraId="750DC3F1">
      <w:pPr>
        <w:keepNext w:val="0"/>
        <w:keepLines w:val="0"/>
        <w:pageBreakBefore w:val="0"/>
        <w:overflowPunct/>
        <w:bidi w:val="0"/>
        <w:spacing w:line="360" w:lineRule="auto"/>
        <w:ind w:firstLine="562" w:firstLineChars="200"/>
        <w:jc w:val="center"/>
        <w:outlineLvl w:val="1"/>
        <w:rPr>
          <w:rFonts w:hint="eastAsia" w:ascii="仿宋_GB2312" w:hAnsi="仿宋_GB2312" w:eastAsia="仿宋_GB2312" w:cs="仿宋_GB2312"/>
          <w:b/>
          <w:bCs/>
          <w:color w:val="auto"/>
          <w:sz w:val="28"/>
          <w:szCs w:val="28"/>
          <w:highlight w:val="none"/>
          <w:lang w:val="en-US" w:eastAsia="zh-CN"/>
        </w:rPr>
      </w:pPr>
      <w:bookmarkStart w:id="740" w:name="_Toc14517"/>
      <w:bookmarkStart w:id="741" w:name="_Toc14437"/>
      <w:bookmarkStart w:id="742" w:name="_Toc17951"/>
      <w:bookmarkStart w:id="743" w:name="_Toc20430"/>
      <w:bookmarkStart w:id="744" w:name="_Toc5101"/>
      <w:bookmarkStart w:id="745" w:name="_Toc21552"/>
      <w:bookmarkStart w:id="746" w:name="_Toc3802"/>
      <w:bookmarkStart w:id="747" w:name="_Toc11002"/>
      <w:bookmarkStart w:id="748" w:name="_Toc27461"/>
      <w:bookmarkStart w:id="749" w:name="_Toc4154"/>
      <w:bookmarkStart w:id="750" w:name="_Toc27920"/>
      <w:bookmarkStart w:id="751" w:name="_Toc1857"/>
      <w:bookmarkStart w:id="752" w:name="_Toc17500"/>
      <w:bookmarkStart w:id="753" w:name="_Toc31952"/>
      <w:bookmarkStart w:id="754" w:name="_Toc10047"/>
      <w:bookmarkStart w:id="755" w:name="_Toc24575"/>
      <w:bookmarkStart w:id="756" w:name="_Toc24098"/>
      <w:bookmarkStart w:id="757" w:name="_Toc12997"/>
      <w:bookmarkStart w:id="758" w:name="_Toc12705"/>
      <w:bookmarkStart w:id="759" w:name="_Toc4084"/>
      <w:bookmarkStart w:id="760" w:name="_Toc17065"/>
      <w:bookmarkStart w:id="761" w:name="_Toc32165"/>
      <w:bookmarkStart w:id="762" w:name="_Toc30966"/>
      <w:bookmarkStart w:id="763" w:name="_Toc5678"/>
      <w:r>
        <w:rPr>
          <w:rFonts w:hint="eastAsia" w:ascii="仿宋_GB2312" w:hAnsi="仿宋_GB2312" w:eastAsia="仿宋_GB2312" w:cs="仿宋_GB2312"/>
          <w:b/>
          <w:bCs/>
          <w:color w:val="auto"/>
          <w:sz w:val="28"/>
          <w:szCs w:val="28"/>
          <w:highlight w:val="none"/>
          <w:lang w:val="en-US" w:eastAsia="zh-CN"/>
        </w:rPr>
        <w:t>六、授权委托书</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70546126">
      <w:pPr>
        <w:keepNext w:val="0"/>
        <w:keepLines w:val="0"/>
        <w:pageBreakBefore w:val="0"/>
        <w:overflowPunct/>
        <w:bidi w:val="0"/>
        <w:spacing w:line="360" w:lineRule="auto"/>
        <w:ind w:left="560" w:leftChars="200" w:firstLine="0" w:firstLineChars="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（姓名）系</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（投标人单位名称）的法定代表人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（单位负责人），现委托</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姓名）为我方本次项目委托代理人。委托代理人依据本授权，以我方名义办理本次安徽新安银行办公电脑采购项目投标文件签署、澄清、确认、递交、撤回、修改及合同签订、相关事务处理等全部事宜，由此产生的一切法律责任及后果均由我方承担。</w:t>
      </w:r>
    </w:p>
    <w:p w14:paraId="196C3624">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代理人无转委托权。</w:t>
      </w:r>
    </w:p>
    <w:p w14:paraId="1A3B8804">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附：法定代表人（单位负责人）身份证扫描件；</w:t>
      </w:r>
    </w:p>
    <w:p w14:paraId="12E1490D">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委托代理人身份证扫描；</w:t>
      </w:r>
    </w:p>
    <w:p w14:paraId="72DBCC42">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注：</w:t>
      </w:r>
    </w:p>
    <w:p w14:paraId="70840A7E">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val="en-US" w:eastAsia="zh-CN"/>
        </w:rPr>
        <w:t>本授权委托书需由投标人加盖单位公章，并由其法定代表人（单位负责人）签字和盖单位公章；</w:t>
      </w:r>
    </w:p>
    <w:p w14:paraId="37AB0D9C">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val="en-US" w:eastAsia="zh-CN"/>
        </w:rPr>
        <w:t>本项目仅限设置唯一授权代表，同时须提供法定代表人（单位负责人）身份证明资料；</w:t>
      </w:r>
    </w:p>
    <w:p w14:paraId="0278BFC3">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lang w:val="en-US" w:eastAsia="zh-CN"/>
        </w:rPr>
        <w:t>法定代表人本人亲自参与本次采购活动的，无需提供本授权委托书，仅需提交法定代表人（单位负责人）身份证明即可。</w:t>
      </w:r>
    </w:p>
    <w:p w14:paraId="7E598030">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lang w:val="en-US" w:eastAsia="zh-CN"/>
        </w:rPr>
        <w:t>本授权书于</w:t>
      </w:r>
      <w:r>
        <w:rPr>
          <w:rFonts w:hint="eastAsia" w:ascii="仿宋_GB2312" w:hAnsi="仿宋_GB2312" w:eastAsia="仿宋_GB2312" w:cs="仿宋_GB2312"/>
          <w:color w:val="auto"/>
          <w:sz w:val="28"/>
          <w:szCs w:val="28"/>
          <w:highlight w:val="none"/>
          <w:u w:val="single"/>
          <w:lang w:val="en-US" w:eastAsia="zh-CN"/>
        </w:rPr>
        <w:t>2026</w:t>
      </w:r>
      <w:r>
        <w:rPr>
          <w:rFonts w:hint="eastAsia" w:ascii="仿宋_GB2312" w:hAnsi="仿宋_GB2312" w:eastAsia="仿宋_GB2312" w:cs="仿宋_GB2312"/>
          <w:color w:val="auto"/>
          <w:sz w:val="28"/>
          <w:szCs w:val="28"/>
          <w:highlight w:val="none"/>
          <w:lang w:val="en-US" w:eastAsia="zh-CN"/>
        </w:rPr>
        <w:t>年</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月</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日生效，在我方出具撤销授权书面通知送达前，本授权持续有效；</w:t>
      </w:r>
    </w:p>
    <w:p w14:paraId="08597001">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5.</w:t>
      </w:r>
      <w:r>
        <w:rPr>
          <w:rFonts w:hint="eastAsia" w:ascii="仿宋_GB2312" w:hAnsi="仿宋_GB2312" w:eastAsia="仿宋_GB2312" w:cs="仿宋_GB2312"/>
          <w:color w:val="auto"/>
          <w:sz w:val="28"/>
          <w:szCs w:val="28"/>
          <w:highlight w:val="none"/>
          <w:lang w:val="en-US" w:eastAsia="zh-CN"/>
        </w:rPr>
        <w:t>被授权人参加的须提供授权委托书，并提供法定代表人（单位负责人）身份证明。</w:t>
      </w:r>
    </w:p>
    <w:tbl>
      <w:tblPr>
        <w:tblStyle w:val="1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4F08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jc w:val="center"/>
        </w:trPr>
        <w:tc>
          <w:tcPr>
            <w:tcW w:w="4261" w:type="dxa"/>
            <w:noWrap w:val="0"/>
            <w:vAlign w:val="center"/>
          </w:tcPr>
          <w:p w14:paraId="233FC336">
            <w:pPr>
              <w:keepNext w:val="0"/>
              <w:keepLines w:val="0"/>
              <w:pageBreakBefore w:val="0"/>
              <w:suppressLineNumbers w:val="0"/>
              <w:overflowPunct/>
              <w:bidi w:val="0"/>
              <w:spacing w:before="0" w:beforeAutospacing="0" w:after="0" w:afterAutospacing="0" w:line="360" w:lineRule="auto"/>
              <w:ind w:left="0" w:right="0"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法定代表人（单位负责人）</w:t>
            </w:r>
          </w:p>
          <w:p w14:paraId="42F3C61F">
            <w:pPr>
              <w:keepNext w:val="0"/>
              <w:keepLines w:val="0"/>
              <w:pageBreakBefore w:val="0"/>
              <w:suppressLineNumbers w:val="0"/>
              <w:overflowPunct/>
              <w:bidi w:val="0"/>
              <w:spacing w:before="0" w:beforeAutospacing="0" w:after="0" w:afterAutospacing="0" w:line="360" w:lineRule="auto"/>
              <w:ind w:left="0" w:right="0"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身份证明复制件（国徽面）</w:t>
            </w:r>
          </w:p>
        </w:tc>
        <w:tc>
          <w:tcPr>
            <w:tcW w:w="4261" w:type="dxa"/>
            <w:noWrap w:val="0"/>
            <w:vAlign w:val="center"/>
          </w:tcPr>
          <w:p w14:paraId="151C207E">
            <w:pPr>
              <w:keepNext w:val="0"/>
              <w:keepLines w:val="0"/>
              <w:pageBreakBefore w:val="0"/>
              <w:suppressLineNumbers w:val="0"/>
              <w:overflowPunct/>
              <w:bidi w:val="0"/>
              <w:spacing w:before="0" w:beforeAutospacing="0" w:after="0" w:afterAutospacing="0" w:line="360" w:lineRule="auto"/>
              <w:ind w:left="0" w:right="0"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法定代表人（单位负责人）</w:t>
            </w:r>
          </w:p>
          <w:p w14:paraId="4618E923">
            <w:pPr>
              <w:keepNext w:val="0"/>
              <w:keepLines w:val="0"/>
              <w:pageBreakBefore w:val="0"/>
              <w:suppressLineNumbers w:val="0"/>
              <w:overflowPunct/>
              <w:bidi w:val="0"/>
              <w:spacing w:before="0" w:beforeAutospacing="0" w:after="0" w:afterAutospacing="0" w:line="360" w:lineRule="auto"/>
              <w:ind w:left="0" w:right="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身份证明复制件（持证人</w:t>
            </w:r>
            <w:r>
              <w:rPr>
                <w:rFonts w:hint="default" w:ascii="仿宋_GB2312" w:hAnsi="仿宋_GB2312" w:eastAsia="仿宋_GB2312" w:cs="仿宋_GB2312"/>
                <w:color w:val="auto"/>
                <w:sz w:val="28"/>
                <w:szCs w:val="28"/>
                <w:highlight w:val="none"/>
                <w:lang w:val="en-US" w:eastAsia="zh-CN"/>
              </w:rPr>
              <w:t>照片</w:t>
            </w:r>
            <w:r>
              <w:rPr>
                <w:rFonts w:hint="eastAsia" w:ascii="仿宋_GB2312" w:hAnsi="仿宋_GB2312" w:eastAsia="仿宋_GB2312" w:cs="仿宋_GB2312"/>
                <w:color w:val="auto"/>
                <w:sz w:val="28"/>
                <w:szCs w:val="28"/>
                <w:highlight w:val="none"/>
                <w:lang w:val="en-US" w:eastAsia="zh-CN"/>
              </w:rPr>
              <w:t>）</w:t>
            </w:r>
          </w:p>
        </w:tc>
      </w:tr>
      <w:tr w14:paraId="6A5F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1" w:hRule="atLeast"/>
          <w:jc w:val="center"/>
        </w:trPr>
        <w:tc>
          <w:tcPr>
            <w:tcW w:w="4261" w:type="dxa"/>
            <w:noWrap w:val="0"/>
            <w:vAlign w:val="center"/>
          </w:tcPr>
          <w:p w14:paraId="3114095E">
            <w:pPr>
              <w:keepNext w:val="0"/>
              <w:keepLines w:val="0"/>
              <w:pageBreakBefore w:val="0"/>
              <w:suppressLineNumbers w:val="0"/>
              <w:overflowPunct/>
              <w:bidi w:val="0"/>
              <w:spacing w:before="0" w:beforeAutospacing="0" w:after="0" w:afterAutospacing="0" w:line="360" w:lineRule="auto"/>
              <w:ind w:left="0" w:right="0" w:firstLine="560" w:firstLineChars="20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委托代理人身份证复制件（国徽面）</w:t>
            </w:r>
          </w:p>
        </w:tc>
        <w:tc>
          <w:tcPr>
            <w:tcW w:w="4261" w:type="dxa"/>
            <w:noWrap w:val="0"/>
            <w:vAlign w:val="center"/>
          </w:tcPr>
          <w:p w14:paraId="1D576F92">
            <w:pPr>
              <w:keepNext w:val="0"/>
              <w:keepLines w:val="0"/>
              <w:pageBreakBefore w:val="0"/>
              <w:suppressLineNumbers w:val="0"/>
              <w:overflowPunct/>
              <w:bidi w:val="0"/>
              <w:spacing w:before="0" w:beforeAutospacing="0" w:after="0" w:afterAutospacing="0" w:line="360" w:lineRule="auto"/>
              <w:ind w:left="0" w:right="0" w:firstLine="560" w:firstLineChars="20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委托代理人身份证复制件（持证人</w:t>
            </w:r>
            <w:r>
              <w:rPr>
                <w:rFonts w:hint="default" w:ascii="仿宋_GB2312" w:hAnsi="仿宋_GB2312" w:eastAsia="仿宋_GB2312" w:cs="仿宋_GB2312"/>
                <w:color w:val="auto"/>
                <w:sz w:val="28"/>
                <w:szCs w:val="28"/>
                <w:highlight w:val="none"/>
                <w:lang w:val="en-US" w:eastAsia="zh-CN"/>
              </w:rPr>
              <w:t>照片</w:t>
            </w:r>
            <w:r>
              <w:rPr>
                <w:rFonts w:hint="eastAsia" w:ascii="仿宋_GB2312" w:hAnsi="仿宋_GB2312" w:eastAsia="仿宋_GB2312" w:cs="仿宋_GB2312"/>
                <w:color w:val="auto"/>
                <w:sz w:val="28"/>
                <w:szCs w:val="28"/>
                <w:highlight w:val="none"/>
                <w:lang w:val="en-US" w:eastAsia="zh-CN"/>
              </w:rPr>
              <w:t xml:space="preserve"> ）</w:t>
            </w:r>
          </w:p>
        </w:tc>
      </w:tr>
    </w:tbl>
    <w:p w14:paraId="673BADAC">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p>
    <w:p w14:paraId="3D1A18AB">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投标人：</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（盖单位公章）</w:t>
      </w:r>
    </w:p>
    <w:p w14:paraId="6B0E6BE4">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法定代表人（单位负责人）：</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（签字和加盖单位公章）</w:t>
      </w:r>
    </w:p>
    <w:p w14:paraId="79B9A8DB">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委托代理人：</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（签字和加盖单位公章）</w:t>
      </w:r>
    </w:p>
    <w:p w14:paraId="7B7B8806">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日期：</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年</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月</w:t>
      </w:r>
      <w:r>
        <w:rPr>
          <w:rFonts w:hint="eastAsia" w:ascii="仿宋_GB2312" w:hAnsi="仿宋_GB2312" w:eastAsia="仿宋_GB2312" w:cs="仿宋_GB2312"/>
          <w:b w:val="0"/>
          <w:bCs w:val="0"/>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日</w:t>
      </w:r>
    </w:p>
    <w:p w14:paraId="0094E846">
      <w:pPr>
        <w:keepNext w:val="0"/>
        <w:keepLines w:val="0"/>
        <w:pageBreakBefore w:val="0"/>
        <w:overflowPunct/>
        <w:bidi w:val="0"/>
        <w:rPr>
          <w:rFonts w:hint="eastAsia" w:ascii="仿宋_GB2312" w:hAnsi="仿宋_GB2312" w:eastAsia="仿宋_GB2312" w:cs="仿宋_GB2312"/>
          <w:b/>
          <w:bCs/>
          <w:color w:val="auto"/>
          <w:sz w:val="28"/>
          <w:szCs w:val="28"/>
          <w:highlight w:val="none"/>
          <w:lang w:val="en-US" w:eastAsia="zh-CN"/>
        </w:rPr>
      </w:pPr>
      <w:bookmarkStart w:id="764" w:name="_Toc5658"/>
      <w:bookmarkStart w:id="765" w:name="_Toc6523"/>
      <w:bookmarkStart w:id="766" w:name="_Toc7108"/>
      <w:bookmarkStart w:id="767" w:name="_Toc214"/>
      <w:r>
        <w:rPr>
          <w:rFonts w:hint="eastAsia" w:ascii="仿宋_GB2312" w:hAnsi="仿宋_GB2312" w:eastAsia="仿宋_GB2312" w:cs="仿宋_GB2312"/>
          <w:b/>
          <w:bCs/>
          <w:color w:val="auto"/>
          <w:sz w:val="28"/>
          <w:szCs w:val="28"/>
          <w:highlight w:val="none"/>
          <w:lang w:val="en-US" w:eastAsia="zh-CN"/>
        </w:rPr>
        <w:br w:type="page"/>
      </w:r>
    </w:p>
    <w:p w14:paraId="2A119D35">
      <w:pPr>
        <w:keepNext w:val="0"/>
        <w:keepLines w:val="0"/>
        <w:pageBreakBefore w:val="0"/>
        <w:overflowPunct/>
        <w:bidi w:val="0"/>
        <w:spacing w:line="360" w:lineRule="auto"/>
        <w:jc w:val="center"/>
        <w:outlineLvl w:val="1"/>
        <w:rPr>
          <w:rFonts w:hint="eastAsia" w:ascii="仿宋_GB2312" w:hAnsi="仿宋_GB2312" w:eastAsia="仿宋_GB2312" w:cs="仿宋_GB2312"/>
          <w:b/>
          <w:color w:val="auto"/>
          <w:sz w:val="28"/>
          <w:szCs w:val="28"/>
          <w:highlight w:val="none"/>
          <w:lang w:val="zh-CN"/>
        </w:rPr>
      </w:pPr>
      <w:bookmarkStart w:id="768" w:name="_Toc2968"/>
      <w:bookmarkStart w:id="769" w:name="_Toc18805"/>
      <w:bookmarkStart w:id="770" w:name="_Toc4582"/>
      <w:bookmarkStart w:id="771" w:name="_Toc16051"/>
      <w:bookmarkStart w:id="772" w:name="_Toc9104"/>
      <w:bookmarkStart w:id="773" w:name="_Toc20036"/>
      <w:bookmarkStart w:id="774" w:name="_Toc11169"/>
      <w:bookmarkStart w:id="775" w:name="_Toc21485"/>
      <w:bookmarkStart w:id="776" w:name="_Toc813"/>
      <w:bookmarkStart w:id="777" w:name="_Toc26469"/>
      <w:bookmarkStart w:id="778" w:name="_Toc14435"/>
      <w:bookmarkStart w:id="779" w:name="_Toc29219"/>
      <w:bookmarkStart w:id="780" w:name="_Toc28905"/>
      <w:bookmarkStart w:id="781" w:name="_Toc6891"/>
      <w:bookmarkStart w:id="782" w:name="_Toc12183"/>
      <w:bookmarkStart w:id="783" w:name="_Toc3825"/>
      <w:bookmarkStart w:id="784" w:name="_Toc29944"/>
      <w:bookmarkStart w:id="785" w:name="_Toc16802"/>
      <w:bookmarkStart w:id="786" w:name="_Toc5649"/>
      <w:bookmarkStart w:id="787" w:name="_Toc2292"/>
      <w:bookmarkStart w:id="788" w:name="_Toc27795"/>
      <w:bookmarkStart w:id="789" w:name="_Toc26850"/>
      <w:bookmarkStart w:id="790" w:name="_Toc2148"/>
      <w:bookmarkStart w:id="791" w:name="_Toc3988"/>
      <w:r>
        <w:rPr>
          <w:rFonts w:hint="eastAsia" w:ascii="仿宋_GB2312" w:hAnsi="仿宋_GB2312" w:eastAsia="仿宋_GB2312" w:cs="仿宋_GB2312"/>
          <w:b/>
          <w:bCs/>
          <w:color w:val="auto"/>
          <w:sz w:val="28"/>
          <w:szCs w:val="28"/>
          <w:highlight w:val="none"/>
          <w:lang w:val="en-US" w:eastAsia="zh-CN"/>
        </w:rPr>
        <w:t>七、投标</w:t>
      </w:r>
      <w:r>
        <w:rPr>
          <w:rFonts w:hint="eastAsia" w:ascii="仿宋_GB2312" w:hAnsi="仿宋_GB2312" w:eastAsia="仿宋_GB2312" w:cs="仿宋_GB2312"/>
          <w:b/>
          <w:bCs/>
          <w:color w:val="auto"/>
          <w:sz w:val="28"/>
          <w:szCs w:val="28"/>
          <w:highlight w:val="none"/>
          <w:lang w:val="zh-CN" w:eastAsia="zh-CN"/>
        </w:rPr>
        <w:t>承诺</w:t>
      </w:r>
      <w:r>
        <w:rPr>
          <w:rFonts w:hint="eastAsia" w:ascii="仿宋_GB2312" w:hAnsi="仿宋_GB2312" w:eastAsia="仿宋_GB2312" w:cs="仿宋_GB2312"/>
          <w:b/>
          <w:bCs/>
          <w:color w:val="auto"/>
          <w:sz w:val="28"/>
          <w:szCs w:val="28"/>
          <w:highlight w:val="none"/>
          <w:lang w:val="en-US" w:eastAsia="zh-CN"/>
        </w:rPr>
        <w:t>书</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14:paraId="16FC9CB8">
      <w:pPr>
        <w:keepNext w:val="0"/>
        <w:keepLines w:val="0"/>
        <w:pageBreakBefore w:val="0"/>
        <w:overflowPunct/>
        <w:bidi w:val="0"/>
        <w:spacing w:line="360" w:lineRule="auto"/>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致：安徽新安银行股份有限公司：</w:t>
      </w:r>
    </w:p>
    <w:p w14:paraId="042B0932">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鉴于“安徽新安银行</w:t>
      </w:r>
      <w:r>
        <w:rPr>
          <w:rFonts w:hint="eastAsia" w:ascii="仿宋_GB2312" w:hAnsi="仿宋_GB2312" w:eastAsia="仿宋_GB2312" w:cs="仿宋_GB2312"/>
          <w:color w:val="auto"/>
          <w:sz w:val="28"/>
          <w:szCs w:val="28"/>
          <w:highlight w:val="none"/>
          <w:lang w:val="en-US" w:eastAsia="zh-CN"/>
        </w:rPr>
        <w:t>办公</w:t>
      </w:r>
      <w:r>
        <w:rPr>
          <w:rFonts w:hint="eastAsia" w:ascii="仿宋_GB2312" w:hAnsi="仿宋_GB2312" w:eastAsia="仿宋_GB2312" w:cs="仿宋_GB2312"/>
          <w:color w:val="auto"/>
          <w:sz w:val="28"/>
          <w:szCs w:val="28"/>
          <w:highlight w:val="none"/>
          <w:lang w:val="zh-CN" w:eastAsia="zh-CN"/>
        </w:rPr>
        <w:t>电脑采购项目”（项目相关信息以招标文件为准）的特点及要求，我方</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sz w:val="28"/>
          <w:szCs w:val="28"/>
          <w:highlight w:val="none"/>
          <w:lang w:val="zh-CN" w:eastAsia="zh-CN"/>
        </w:rPr>
        <w:t>（投标</w:t>
      </w:r>
      <w:r>
        <w:rPr>
          <w:rFonts w:hint="eastAsia" w:ascii="仿宋_GB2312" w:hAnsi="仿宋_GB2312" w:eastAsia="仿宋_GB2312" w:cs="仿宋_GB2312"/>
          <w:color w:val="auto"/>
          <w:sz w:val="28"/>
          <w:szCs w:val="28"/>
          <w:highlight w:val="none"/>
          <w:lang w:val="en-US" w:eastAsia="zh-CN"/>
        </w:rPr>
        <w:t>人单位名称</w:t>
      </w:r>
      <w:r>
        <w:rPr>
          <w:rFonts w:hint="eastAsia" w:ascii="仿宋_GB2312" w:hAnsi="仿宋_GB2312" w:eastAsia="仿宋_GB2312" w:cs="仿宋_GB2312"/>
          <w:color w:val="auto"/>
          <w:sz w:val="28"/>
          <w:szCs w:val="28"/>
          <w:highlight w:val="none"/>
          <w:lang w:val="zh-CN" w:eastAsia="zh-CN"/>
        </w:rPr>
        <w:t>）郑重作出如下承诺</w:t>
      </w:r>
      <w:r>
        <w:rPr>
          <w:rFonts w:hint="default" w:ascii="仿宋_GB2312" w:hAnsi="仿宋_GB2312" w:eastAsia="仿宋_GB2312" w:cs="仿宋_GB2312"/>
          <w:color w:val="auto"/>
          <w:sz w:val="28"/>
          <w:szCs w:val="28"/>
          <w:highlight w:val="none"/>
          <w:lang w:val="en-US" w:eastAsia="zh-CN"/>
        </w:rPr>
        <w:t>，自</w:t>
      </w:r>
      <w:r>
        <w:rPr>
          <w:rFonts w:hint="eastAsia" w:ascii="仿宋_GB2312" w:hAnsi="仿宋_GB2312" w:eastAsia="仿宋_GB2312" w:cs="仿宋_GB2312"/>
          <w:color w:val="auto"/>
          <w:sz w:val="28"/>
          <w:szCs w:val="28"/>
          <w:highlight w:val="none"/>
          <w:lang w:val="zh-CN" w:eastAsia="zh-CN"/>
        </w:rPr>
        <w:t>愿接受招标人监督，若违反下述任何一条，自愿承担相应法律责任及由此产生的一切损失：</w:t>
      </w:r>
    </w:p>
    <w:p w14:paraId="1D164740">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en-US" w:eastAsia="zh-CN"/>
        </w:rPr>
        <w:t>1. 我方本次采购报价所提供的全部产品及相关服务，在招标文件规定的质量保证期内，均严格满足招标文件、技术规格书及相关补充文件的全部要求，产品质量合格、性能稳定，服务响应及时、符合标准，无任何虚假承诺或违规隐瞒。</w:t>
      </w:r>
    </w:p>
    <w:p w14:paraId="4F66BE26">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2</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lang w:val="zh-CN" w:eastAsia="zh-CN"/>
        </w:rPr>
        <w:t>不论本次采购项目我方是否中标，我方均对在参与本项目过程中所获取的与该项目相关的全部招标文件、技术资料、招标人商业信息及其他一切相关文件、数据严格履行保密义务，严禁私自复制、传播、泄露。同时，我方将对所有参与本项目采购工作的相关人员进行严格管理，对其使用上述信息、资料、文件的情况进行详细登记备案，明确保密责任。若我方中标，未经招标人书面同意，绝不将与本项目有关的任何资料、信息发表、公布或向任何第三方泄露。一旦发现或收到举报，确认我方人员存在泄密或其他违反本条承诺的行为，经招标人核实后，我方除立即对相关责任人员予以内部严肃处分外，完全接受招标人作出的一切处理意见，并承担由此给招标人造成的全部损失、相关后果及相应法律责任。</w:t>
      </w:r>
    </w:p>
    <w:p w14:paraId="391FD902">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特此承诺。</w:t>
      </w:r>
    </w:p>
    <w:p w14:paraId="55300104">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承诺人：</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lang w:val="zh-CN" w:eastAsia="zh-CN"/>
        </w:rPr>
        <w:t>（</w:t>
      </w:r>
      <w:r>
        <w:rPr>
          <w:rFonts w:hint="eastAsia" w:ascii="仿宋_GB2312" w:hAnsi="仿宋_GB2312" w:eastAsia="仿宋_GB2312" w:cs="仿宋_GB2312"/>
          <w:color w:val="auto"/>
          <w:sz w:val="28"/>
          <w:szCs w:val="28"/>
          <w:highlight w:val="none"/>
          <w:lang w:val="en-US" w:eastAsia="zh-CN"/>
        </w:rPr>
        <w:t>加盖</w:t>
      </w:r>
      <w:r>
        <w:rPr>
          <w:rFonts w:hint="eastAsia" w:ascii="仿宋_GB2312" w:hAnsi="仿宋_GB2312" w:eastAsia="仿宋_GB2312" w:cs="仿宋_GB2312"/>
          <w:color w:val="auto"/>
          <w:sz w:val="28"/>
          <w:szCs w:val="28"/>
          <w:highlight w:val="none"/>
          <w:lang w:val="zh-CN" w:eastAsia="zh-CN"/>
        </w:rPr>
        <w:t>单位公章）</w:t>
      </w:r>
    </w:p>
    <w:p w14:paraId="12068BDC">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zh-CN" w:eastAsia="zh-CN"/>
        </w:rPr>
      </w:pPr>
      <w:r>
        <w:rPr>
          <w:rFonts w:hint="eastAsia" w:ascii="仿宋_GB2312" w:hAnsi="仿宋_GB2312" w:eastAsia="仿宋_GB2312" w:cs="仿宋_GB2312"/>
          <w:color w:val="auto"/>
          <w:sz w:val="28"/>
          <w:szCs w:val="28"/>
          <w:highlight w:val="none"/>
          <w:lang w:val="zh-CN" w:eastAsia="zh-CN"/>
        </w:rPr>
        <w:t>法定代表人</w:t>
      </w:r>
      <w:r>
        <w:rPr>
          <w:rFonts w:hint="eastAsia" w:ascii="仿宋_GB2312" w:hAnsi="仿宋_GB2312" w:eastAsia="仿宋_GB2312" w:cs="仿宋_GB2312"/>
          <w:color w:val="auto"/>
          <w:sz w:val="28"/>
          <w:szCs w:val="28"/>
          <w:highlight w:val="none"/>
          <w:lang w:val="en-US" w:eastAsia="zh-CN"/>
        </w:rPr>
        <w:t>或</w:t>
      </w:r>
      <w:r>
        <w:rPr>
          <w:rFonts w:hint="eastAsia" w:ascii="仿宋_GB2312" w:hAnsi="仿宋_GB2312" w:eastAsia="仿宋_GB2312" w:cs="仿宋_GB2312"/>
          <w:color w:val="auto"/>
          <w:sz w:val="28"/>
          <w:szCs w:val="28"/>
          <w:highlight w:val="none"/>
          <w:lang w:val="zh-CN" w:eastAsia="zh-CN"/>
        </w:rPr>
        <w:t>授权代表人（签字）：</w:t>
      </w:r>
      <w:r>
        <w:rPr>
          <w:rFonts w:hint="eastAsia" w:ascii="仿宋_GB2312" w:hAnsi="仿宋_GB2312" w:eastAsia="仿宋_GB2312" w:cs="仿宋_GB2312"/>
          <w:color w:val="auto"/>
          <w:sz w:val="28"/>
          <w:szCs w:val="28"/>
          <w:highlight w:val="none"/>
          <w:lang w:val="en-US" w:eastAsia="zh-CN"/>
        </w:rPr>
        <w:t xml:space="preserve">                     </w:t>
      </w:r>
    </w:p>
    <w:p w14:paraId="1F789AD9">
      <w:pPr>
        <w:keepNext w:val="0"/>
        <w:keepLines w:val="0"/>
        <w:pageBreakBefore w:val="0"/>
        <w:overflowPunct/>
        <w:bidi w:val="0"/>
        <w:spacing w:line="360" w:lineRule="auto"/>
        <w:ind w:firstLine="560" w:firstLineChars="200"/>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zh-CN" w:eastAsia="zh-CN"/>
        </w:rPr>
        <w:t>日期：</w:t>
      </w:r>
      <w:r>
        <w:rPr>
          <w:rFonts w:hint="eastAsia" w:ascii="仿宋_GB2312" w:hAnsi="仿宋_GB2312" w:eastAsia="仿宋_GB2312" w:cs="仿宋_GB2312"/>
          <w:color w:val="auto"/>
          <w:sz w:val="28"/>
          <w:szCs w:val="28"/>
          <w:highlight w:val="none"/>
          <w:lang w:val="en-US" w:eastAsia="zh-CN"/>
        </w:rPr>
        <w:t xml:space="preserve">       年     月      日</w:t>
      </w:r>
      <w:bookmarkStart w:id="792" w:name="_Toc14202"/>
      <w:bookmarkStart w:id="793" w:name="_Toc2433"/>
      <w:bookmarkStart w:id="794" w:name="_Toc23654"/>
      <w:bookmarkStart w:id="795" w:name="_Toc15433"/>
    </w:p>
    <w:p w14:paraId="2CA6C7E3">
      <w:pPr>
        <w:keepNext w:val="0"/>
        <w:keepLines w:val="0"/>
        <w:pageBreakBefore w:val="0"/>
        <w:overflowPunct/>
        <w:bidi w:val="0"/>
        <w:spacing w:line="360" w:lineRule="auto"/>
        <w:jc w:val="center"/>
        <w:outlineLvl w:val="1"/>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br w:type="page"/>
      </w:r>
      <w:bookmarkStart w:id="796" w:name="_Toc24677"/>
      <w:bookmarkStart w:id="797" w:name="_Toc10321"/>
      <w:bookmarkStart w:id="798" w:name="_Toc7956"/>
      <w:bookmarkStart w:id="799" w:name="_Toc1442"/>
      <w:bookmarkStart w:id="800" w:name="_Toc14974"/>
      <w:bookmarkStart w:id="801" w:name="_Toc21270"/>
      <w:bookmarkStart w:id="802" w:name="_Toc14737"/>
      <w:bookmarkStart w:id="803" w:name="_Toc5504"/>
      <w:bookmarkStart w:id="804" w:name="_Toc9818"/>
      <w:bookmarkStart w:id="805" w:name="_Toc14387"/>
      <w:bookmarkStart w:id="806" w:name="_Toc30578"/>
      <w:bookmarkStart w:id="807" w:name="_Toc22543"/>
      <w:bookmarkStart w:id="808" w:name="_Toc3129"/>
      <w:bookmarkStart w:id="809" w:name="_Toc22866"/>
      <w:bookmarkStart w:id="810" w:name="_Toc20458"/>
      <w:bookmarkStart w:id="811" w:name="_Toc26723"/>
      <w:bookmarkStart w:id="812" w:name="_Toc14371"/>
      <w:bookmarkStart w:id="813" w:name="_Toc4595"/>
      <w:bookmarkStart w:id="814" w:name="_Toc15333"/>
      <w:bookmarkStart w:id="815" w:name="_Toc2190"/>
      <w:bookmarkStart w:id="816" w:name="_Toc25589"/>
      <w:bookmarkStart w:id="817" w:name="_Toc27863"/>
      <w:bookmarkStart w:id="818" w:name="_Toc28582"/>
      <w:bookmarkStart w:id="819" w:name="_Toc1159"/>
      <w:r>
        <w:rPr>
          <w:rFonts w:hint="eastAsia" w:ascii="仿宋_GB2312" w:hAnsi="仿宋_GB2312" w:eastAsia="仿宋_GB2312" w:cs="仿宋_GB2312"/>
          <w:b/>
          <w:bCs/>
          <w:color w:val="auto"/>
          <w:sz w:val="28"/>
          <w:szCs w:val="28"/>
          <w:highlight w:val="none"/>
          <w:lang w:val="en-US" w:eastAsia="zh-CN"/>
        </w:rPr>
        <w:t>八、投标人信用承诺</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14:paraId="541F32F0">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p>
    <w:p w14:paraId="62FB9CE5">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我公司申明，我公司无以下不良信用记录情形：</w:t>
      </w:r>
    </w:p>
    <w:p w14:paraId="3792B57B">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 公司被人民法院列入失信被执行人；</w:t>
      </w:r>
    </w:p>
    <w:p w14:paraId="1B883413">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 公司、公司法定代表人被人民检察院列入行贿犯罪档案；</w:t>
      </w:r>
    </w:p>
    <w:p w14:paraId="6679EF88">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 公司被工商行政管理部门列入企业经营异常名录；</w:t>
      </w:r>
      <w:bookmarkStart w:id="880" w:name="_GoBack"/>
      <w:bookmarkEnd w:id="880"/>
    </w:p>
    <w:p w14:paraId="5ED6933E">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 公司被税务部门列入重大税收违法案件当事人名单的；</w:t>
      </w:r>
    </w:p>
    <w:p w14:paraId="44F446BA">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5.参加本次投标活动前三年内，在服务活动中没有重大违法及安全事故记录。</w:t>
      </w:r>
    </w:p>
    <w:p w14:paraId="2D53EC3B">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我公司已就上述不良信用行为按照招标文件规定进行了查询，并在投标文件中如实提供查询截图及相关证明。我公司承诺：合同签订前，若我公司具有不良信用记录情形，贵方可取消我公司中标资格或者不授予合同，所有责任由我公司自行承担。同时，我公司愿意无条件接受监管部门的调查处理。</w:t>
      </w:r>
    </w:p>
    <w:p w14:paraId="7847F590">
      <w:pPr>
        <w:keepNext w:val="0"/>
        <w:keepLines w:val="0"/>
        <w:pageBreakBefore w:val="0"/>
        <w:overflowPunct/>
        <w:bidi w:val="0"/>
        <w:spacing w:line="360" w:lineRule="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投标人：</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sz w:val="28"/>
          <w:szCs w:val="28"/>
          <w:highlight w:val="none"/>
          <w:lang w:val="en-US" w:eastAsia="zh-CN"/>
        </w:rPr>
        <w:t>（盖单位公章）</w:t>
      </w:r>
    </w:p>
    <w:p w14:paraId="29B65444">
      <w:pPr>
        <w:keepNext w:val="0"/>
        <w:keepLines w:val="0"/>
        <w:pageBreakBefore w:val="0"/>
        <w:overflowPunct/>
        <w:bidi w:val="0"/>
        <w:spacing w:line="360" w:lineRule="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日期：</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sz w:val="28"/>
          <w:szCs w:val="28"/>
          <w:highlight w:val="none"/>
          <w:lang w:val="en-US" w:eastAsia="zh-CN"/>
        </w:rPr>
        <w:t>年</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sz w:val="28"/>
          <w:szCs w:val="28"/>
          <w:highlight w:val="none"/>
          <w:lang w:val="en-US" w:eastAsia="zh-CN"/>
        </w:rPr>
        <w:t>月</w:t>
      </w:r>
      <w:r>
        <w:rPr>
          <w:rFonts w:hint="eastAsia" w:ascii="仿宋_GB2312" w:hAnsi="仿宋_GB2312" w:eastAsia="仿宋_GB2312" w:cs="仿宋_GB2312"/>
          <w:color w:val="auto"/>
          <w:kern w:val="2"/>
          <w:sz w:val="28"/>
          <w:szCs w:val="28"/>
          <w:highlight w:val="none"/>
          <w:u w:val="single"/>
          <w:lang w:val="en-US" w:eastAsia="zh-CN" w:bidi="ar-SA"/>
        </w:rPr>
        <w:t xml:space="preserve">     </w:t>
      </w:r>
      <w:r>
        <w:rPr>
          <w:rFonts w:hint="eastAsia" w:ascii="仿宋_GB2312" w:hAnsi="仿宋_GB2312" w:eastAsia="仿宋_GB2312" w:cs="仿宋_GB2312"/>
          <w:color w:val="auto"/>
          <w:sz w:val="28"/>
          <w:szCs w:val="28"/>
          <w:highlight w:val="none"/>
          <w:lang w:val="en-US" w:eastAsia="zh-CN"/>
        </w:rPr>
        <w:t>日</w:t>
      </w:r>
      <w:bookmarkStart w:id="820" w:name="_Toc18352"/>
      <w:bookmarkStart w:id="821" w:name="_Toc29319"/>
      <w:bookmarkStart w:id="822" w:name="_Toc8522"/>
      <w:bookmarkStart w:id="823" w:name="_Toc138"/>
    </w:p>
    <w:bookmarkEnd w:id="820"/>
    <w:bookmarkEnd w:id="821"/>
    <w:bookmarkEnd w:id="822"/>
    <w:bookmarkEnd w:id="823"/>
    <w:p w14:paraId="620EFC73">
      <w:pPr>
        <w:keepNext w:val="0"/>
        <w:keepLines w:val="0"/>
        <w:pageBreakBefore w:val="0"/>
        <w:widowControl w:val="0"/>
        <w:kinsoku/>
        <w:wordWrap/>
        <w:overflowPunct/>
        <w:topLinePunct/>
        <w:autoSpaceDE w:val="0"/>
        <w:autoSpaceDN/>
        <w:bidi w:val="0"/>
        <w:adjustRightInd/>
        <w:snapToGrid/>
        <w:spacing w:after="0" w:line="360" w:lineRule="auto"/>
        <w:jc w:val="center"/>
        <w:textAlignment w:val="auto"/>
        <w:outlineLvl w:val="1"/>
        <w:rPr>
          <w:rFonts w:hint="eastAsia" w:ascii="仿宋_GB2312" w:hAnsi="仿宋_GB2312" w:eastAsia="仿宋_GB2312" w:cs="仿宋_GB2312"/>
          <w:b/>
          <w:bCs/>
          <w:color w:val="auto"/>
          <w:sz w:val="28"/>
          <w:szCs w:val="28"/>
          <w:highlight w:val="none"/>
          <w:lang w:val="en-US" w:eastAsia="zh-CN"/>
        </w:rPr>
      </w:pPr>
      <w:bookmarkStart w:id="824" w:name="_Toc19492"/>
      <w:bookmarkStart w:id="825" w:name="_Toc18538"/>
      <w:bookmarkStart w:id="826" w:name="_Toc29282"/>
      <w:bookmarkStart w:id="827" w:name="_Toc6148"/>
      <w:r>
        <w:rPr>
          <w:rFonts w:hint="eastAsia" w:ascii="仿宋_GB2312" w:hAnsi="仿宋_GB2312" w:eastAsia="仿宋_GB2312" w:cs="仿宋_GB2312"/>
          <w:color w:val="auto"/>
          <w:sz w:val="28"/>
          <w:szCs w:val="28"/>
          <w:highlight w:val="none"/>
          <w:lang w:val="en-US" w:eastAsia="zh-CN"/>
        </w:rPr>
        <w:br w:type="page"/>
      </w:r>
      <w:bookmarkStart w:id="828" w:name="_Toc4540"/>
      <w:bookmarkStart w:id="829" w:name="_Toc3604"/>
      <w:bookmarkStart w:id="830" w:name="_Toc2714"/>
      <w:bookmarkStart w:id="831" w:name="_Toc5023"/>
      <w:bookmarkStart w:id="832" w:name="_Toc3116"/>
      <w:bookmarkStart w:id="833" w:name="_Toc21762"/>
      <w:bookmarkStart w:id="834" w:name="_Toc25688"/>
      <w:bookmarkStart w:id="835" w:name="_Toc23253"/>
      <w:bookmarkStart w:id="836" w:name="_Toc22954"/>
      <w:bookmarkStart w:id="837" w:name="_Toc27487"/>
      <w:bookmarkStart w:id="838" w:name="_Toc23999"/>
      <w:bookmarkStart w:id="839" w:name="_Toc17611"/>
      <w:bookmarkStart w:id="840" w:name="_Toc18447"/>
      <w:bookmarkStart w:id="841" w:name="_Toc13712"/>
      <w:bookmarkStart w:id="842" w:name="_Toc18756"/>
      <w:bookmarkStart w:id="843" w:name="_Toc269"/>
      <w:bookmarkStart w:id="844" w:name="_Toc19949"/>
      <w:bookmarkStart w:id="845" w:name="_Toc32334"/>
      <w:bookmarkStart w:id="846" w:name="_Toc24853"/>
      <w:bookmarkStart w:id="847" w:name="_Toc13284"/>
      <w:bookmarkStart w:id="848" w:name="_Toc10858"/>
      <w:bookmarkStart w:id="849" w:name="_Toc25764"/>
      <w:bookmarkStart w:id="850" w:name="_Toc726"/>
      <w:bookmarkStart w:id="851" w:name="_Toc31590"/>
      <w:r>
        <w:rPr>
          <w:rFonts w:hint="eastAsia" w:ascii="仿宋_GB2312" w:hAnsi="仿宋_GB2312" w:eastAsia="仿宋_GB2312" w:cs="仿宋_GB2312"/>
          <w:b/>
          <w:bCs/>
          <w:color w:val="auto"/>
          <w:sz w:val="28"/>
          <w:szCs w:val="28"/>
          <w:highlight w:val="none"/>
          <w:lang w:val="en-US" w:eastAsia="zh-CN"/>
        </w:rPr>
        <w:t>九、供应商廉洁承诺书</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14:paraId="325F03A0">
      <w:pPr>
        <w:keepNext w:val="0"/>
        <w:keepLines w:val="0"/>
        <w:pageBreakBefore w:val="0"/>
        <w:overflowPunct/>
        <w:bidi w:val="0"/>
        <w:spacing w:line="360" w:lineRule="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 xml:space="preserve">安徽新安银行股份有限公司： </w:t>
      </w:r>
    </w:p>
    <w:p w14:paraId="2128A52C">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本着遵循集中采购公开透明、公平竞争和诚实信用原则，我单位申请作为贵行集中采购供应商，自愿遵守以下廉洁承诺：</w:t>
      </w:r>
    </w:p>
    <w:p w14:paraId="12A74942">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一、不向贵行相关工作人员及其配偶、近亲属赠送礼金、有价证券（卡）、物品、好处费等；</w:t>
      </w:r>
    </w:p>
    <w:p w14:paraId="74174A0E">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二、不给贵行相关工作人员及其配偶、近亲属报销各种费用，支付各种名义的佣金、中介费、咨询费；</w:t>
      </w:r>
    </w:p>
    <w:p w14:paraId="20592FC1">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三、不给贵行相关工作人员及其配偶、近亲属提供通讯设备、手提电脑、交通工具；</w:t>
      </w:r>
    </w:p>
    <w:p w14:paraId="587FAA2C">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四、不邀请贵行相关工作人员及其配偶、近亲属参与高消费餐饮、娱乐或旅游等；</w:t>
      </w:r>
    </w:p>
    <w:p w14:paraId="4AA6CFF5">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五、不邀请贵行相关工作人员及其配偶、近亲属参与以钱物为赌注的打牌、打麻将或涉“黄”、涉毒等活动；</w:t>
      </w:r>
    </w:p>
    <w:p w14:paraId="7A3154F1">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六、不以低于市场价格为贵行相关工作人员装修住房或购买物品；</w:t>
      </w:r>
    </w:p>
    <w:p w14:paraId="15BD6AFF">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七、不邀请贵行相关工作人员及其配偶、近亲属参与我单位的投资参股、合伙做生意等；</w:t>
      </w:r>
    </w:p>
    <w:p w14:paraId="02193524">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八、不与贵行相关工作人员及其配偶、近亲属发生非正常资金往来；</w:t>
      </w:r>
    </w:p>
    <w:p w14:paraId="3C5E000E">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九、不向贵行相关工作人员及其配偶、近亲属输送或变相输送其他不正当利益；</w:t>
      </w:r>
    </w:p>
    <w:p w14:paraId="1CCCFCA2">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28"/>
          <w:szCs w:val="28"/>
          <w:highlight w:val="none"/>
          <w:lang w:val="en-US" w:eastAsia="zh-CN"/>
        </w:rPr>
        <w:t>十、积极配合贵行调查、检查等工作，及时提供相关资料和客观信息。如违反上述任何承诺之一的，贵行可取消我单位的供应商资格。</w:t>
      </w:r>
    </w:p>
    <w:p w14:paraId="20817E06">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承诺人：                        （盖单位公章）</w:t>
      </w:r>
    </w:p>
    <w:p w14:paraId="1A73A4E0">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28"/>
          <w:szCs w:val="28"/>
          <w:highlight w:val="none"/>
          <w:lang w:val="en-US" w:eastAsia="zh-CN"/>
        </w:rPr>
        <w:t>承诺日期：      年      月       日</w:t>
      </w:r>
    </w:p>
    <w:p w14:paraId="4B0BB7D9">
      <w:pPr>
        <w:keepNext w:val="0"/>
        <w:keepLines w:val="0"/>
        <w:pageBreakBefore w:val="0"/>
        <w:overflowPunct/>
        <w:bidi w:val="0"/>
        <w:spacing w:line="360" w:lineRule="auto"/>
        <w:ind w:firstLine="562" w:firstLineChars="200"/>
        <w:jc w:val="center"/>
        <w:outlineLvl w:val="1"/>
        <w:rPr>
          <w:rFonts w:hint="eastAsia" w:ascii="仿宋_GB2312" w:hAnsi="仿宋_GB2312" w:eastAsia="仿宋_GB2312" w:cs="仿宋_GB2312"/>
          <w:b/>
          <w:bCs/>
          <w:color w:val="auto"/>
          <w:sz w:val="28"/>
          <w:szCs w:val="28"/>
          <w:highlight w:val="none"/>
          <w:lang w:val="en-US" w:eastAsia="zh-CN"/>
        </w:rPr>
      </w:pPr>
      <w:bookmarkStart w:id="852" w:name="_Toc30959"/>
      <w:bookmarkStart w:id="853" w:name="_Toc9769"/>
      <w:bookmarkStart w:id="854" w:name="_Toc26058"/>
      <w:bookmarkStart w:id="855" w:name="_Toc32521"/>
      <w:bookmarkStart w:id="856" w:name="_Toc24539"/>
      <w:bookmarkStart w:id="857" w:name="_Toc5522"/>
      <w:bookmarkStart w:id="858" w:name="_Toc25788"/>
      <w:bookmarkStart w:id="859" w:name="_Toc31969"/>
      <w:bookmarkStart w:id="860" w:name="_Toc28173"/>
      <w:bookmarkStart w:id="861" w:name="_Toc18903"/>
      <w:bookmarkStart w:id="862" w:name="_Toc25226"/>
      <w:bookmarkStart w:id="863" w:name="_Toc9919"/>
      <w:bookmarkStart w:id="864" w:name="_Toc1836"/>
      <w:bookmarkStart w:id="865" w:name="_Toc13514"/>
      <w:bookmarkStart w:id="866" w:name="_Toc24024"/>
      <w:bookmarkStart w:id="867" w:name="_Toc29066"/>
      <w:bookmarkStart w:id="868" w:name="_Toc10107"/>
      <w:bookmarkStart w:id="869" w:name="_Toc1380"/>
      <w:bookmarkStart w:id="870" w:name="_Toc7209"/>
      <w:bookmarkStart w:id="871" w:name="_Toc1142"/>
      <w:bookmarkStart w:id="872" w:name="_Toc14455"/>
      <w:bookmarkStart w:id="873" w:name="_Toc15286"/>
      <w:bookmarkStart w:id="874" w:name="_Toc3280"/>
      <w:bookmarkStart w:id="875" w:name="_Toc4261"/>
      <w:r>
        <w:rPr>
          <w:rFonts w:hint="eastAsia" w:ascii="仿宋_GB2312" w:hAnsi="仿宋_GB2312" w:eastAsia="仿宋_GB2312" w:cs="仿宋_GB2312"/>
          <w:b/>
          <w:bCs/>
          <w:color w:val="auto"/>
          <w:sz w:val="28"/>
          <w:szCs w:val="28"/>
          <w:highlight w:val="none"/>
          <w:lang w:val="en-US" w:eastAsia="zh-CN"/>
        </w:rPr>
        <w:t>十、提供评审指标对应材料</w:t>
      </w:r>
      <w:bookmarkEnd w:id="824"/>
      <w:bookmarkEnd w:id="825"/>
      <w:bookmarkEnd w:id="826"/>
      <w:bookmarkEnd w:id="827"/>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14:paraId="6F7C1F4E">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1.营业执照：提供投标人有效的营业执照复印件；</w:t>
      </w:r>
    </w:p>
    <w:p w14:paraId="65B4F92E">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2.ISO体系认证、CCRC证书、QC080000证书：投标人提供所投产品制造商通过的相关认证证书；</w:t>
      </w:r>
    </w:p>
    <w:p w14:paraId="3596D80A">
      <w:pPr>
        <w:ind w:firstLine="56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3.产品认证：所投产品《中国国家强制性产品认证证书（CCC）》和《中国节能认证》；</w:t>
      </w:r>
    </w:p>
    <w:p w14:paraId="441963EA">
      <w:pPr>
        <w:keepNext w:val="0"/>
        <w:keepLines w:val="0"/>
        <w:pageBreakBefore w:val="0"/>
        <w:overflowPunct/>
        <w:bidi w:val="0"/>
        <w:spacing w:line="360" w:lineRule="auto"/>
        <w:ind w:firstLine="560" w:firstLineChars="20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4.代理商证书或经销商证书和经销商质量管理体系认证证书：投标人提供所投品牌制造商代理商证书或经销商证书和经销商质量管理体系认证证书ISO9001；</w:t>
      </w:r>
    </w:p>
    <w:p w14:paraId="1935FA08">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5.业绩案例：投标人近三年业绩案例；</w:t>
      </w:r>
    </w:p>
    <w:p w14:paraId="536AF54B">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28"/>
          <w:szCs w:val="28"/>
          <w:highlight w:val="none"/>
          <w:lang w:val="en-US" w:eastAsia="zh-CN"/>
        </w:rPr>
        <w:t>6</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市场占有率：所投计算机品牌占中国市场（全年）份额；</w:t>
      </w:r>
    </w:p>
    <w:p w14:paraId="3A1D7997">
      <w:pPr>
        <w:keepNext w:val="0"/>
        <w:keepLines w:val="0"/>
        <w:pageBreakBefore w:val="0"/>
        <w:overflowPunct/>
        <w:bidi w:val="0"/>
        <w:spacing w:line="360" w:lineRule="auto"/>
        <w:ind w:firstLine="560" w:firstLineChars="20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产品技术参数：投标人对“技术参数及要求”中的响应；</w:t>
      </w:r>
    </w:p>
    <w:p w14:paraId="6C95D66E">
      <w:pPr>
        <w:keepNext w:val="0"/>
        <w:keepLines w:val="0"/>
        <w:pageBreakBefore w:val="0"/>
        <w:overflowPunct/>
        <w:bidi w:val="0"/>
        <w:spacing w:line="360" w:lineRule="auto"/>
        <w:ind w:firstLine="560" w:firstLineChars="20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8.技术方案：投标人提供的技术方案和实施方案，包含但不限于设备配送、系统安装、驱动调试、硬件扩容升级支持、硬盘返修不回收等；</w:t>
      </w:r>
    </w:p>
    <w:p w14:paraId="0990D22D">
      <w:pPr>
        <w:keepNext w:val="0"/>
        <w:keepLines w:val="0"/>
        <w:pageBreakBefore w:val="0"/>
        <w:overflowPunct/>
        <w:bidi w:val="0"/>
        <w:spacing w:line="360" w:lineRule="auto"/>
        <w:ind w:firstLine="560" w:firstLineChars="200"/>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w:t>
      </w:r>
      <w:r>
        <w:rPr>
          <w:rFonts w:hint="default" w:ascii="仿宋_GB2312" w:hAnsi="仿宋_GB2312" w:eastAsia="仿宋_GB2312" w:cs="仿宋_GB2312"/>
          <w:color w:val="auto"/>
          <w:sz w:val="28"/>
          <w:szCs w:val="28"/>
          <w:highlight w:val="none"/>
          <w:lang w:val="en-US" w:eastAsia="zh-CN"/>
        </w:rPr>
        <w:t>.售后服务方案</w:t>
      </w:r>
      <w:r>
        <w:rPr>
          <w:rFonts w:hint="eastAsia" w:ascii="仿宋_GB2312" w:hAnsi="仿宋_GB2312" w:eastAsia="仿宋_GB2312" w:cs="仿宋_GB2312"/>
          <w:color w:val="auto"/>
          <w:sz w:val="28"/>
          <w:szCs w:val="28"/>
          <w:highlight w:val="none"/>
          <w:lang w:val="en-US" w:eastAsia="zh-CN"/>
        </w:rPr>
        <w:t>：投标人后期对提供产品的售后服务方案，包含便利化服务和售后服务方案；</w:t>
      </w:r>
    </w:p>
    <w:p w14:paraId="0F9CF808">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val="en-US" w:eastAsia="zh-CN"/>
        </w:rPr>
        <w:t>原厂授权书：投标人提供所投产品原厂商授权书，并加盖原厂公章；</w:t>
      </w:r>
    </w:p>
    <w:p w14:paraId="6AF6F48D">
      <w:pPr>
        <w:keepNext w:val="0"/>
        <w:keepLines w:val="0"/>
        <w:pageBreakBefore w:val="0"/>
        <w:overflowPunct/>
        <w:bidi w:val="0"/>
        <w:spacing w:line="360" w:lineRule="auto"/>
        <w:ind w:firstLine="560" w:firstLineChars="200"/>
        <w:jc w:val="left"/>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11.质保服务：投标人提供所投产品原厂商，整机≥3年原厂质保承诺函（</w:t>
      </w:r>
      <w:r>
        <w:rPr>
          <w:rFonts w:hint="eastAsia" w:ascii="仿宋_GB2312" w:hAnsi="仿宋_GB2312" w:eastAsia="仿宋_GB2312" w:cs="仿宋_GB2312"/>
          <w:color w:val="auto"/>
          <w:kern w:val="2"/>
          <w:sz w:val="28"/>
          <w:szCs w:val="28"/>
          <w:highlight w:val="none"/>
          <w:lang w:val="en-US" w:eastAsia="zh-CN"/>
        </w:rPr>
        <w:t>三年内硬盘故障更换时，旧硬盘由采购人留存、不回收）</w:t>
      </w:r>
      <w:r>
        <w:rPr>
          <w:rFonts w:hint="eastAsia" w:ascii="仿宋_GB2312" w:hAnsi="仿宋_GB2312" w:eastAsia="仿宋_GB2312" w:cs="仿宋_GB2312"/>
          <w:color w:val="auto"/>
          <w:sz w:val="28"/>
          <w:szCs w:val="28"/>
          <w:highlight w:val="none"/>
          <w:lang w:val="en-US" w:eastAsia="zh-CN"/>
        </w:rPr>
        <w:t>；</w:t>
      </w:r>
    </w:p>
    <w:p w14:paraId="491B5ECF">
      <w:pPr>
        <w:ind w:firstLine="560" w:firstLineChars="200"/>
        <w:jc w:val="left"/>
        <w:rPr>
          <w:rFonts w:hint="eastAsia" w:ascii="仿宋_GB2312" w:hAnsi="仿宋_GB2312" w:eastAsia="仿宋_GB2312" w:cs="仿宋_GB2312"/>
          <w:strike w:val="0"/>
          <w:color w:val="auto"/>
          <w:highlight w:val="none"/>
          <w:lang w:val="en-US" w:eastAsia="zh-CN"/>
        </w:rPr>
      </w:pPr>
      <w:r>
        <w:rPr>
          <w:rFonts w:hint="eastAsia" w:ascii="仿宋_GB2312" w:hAnsi="仿宋_GB2312" w:eastAsia="仿宋_GB2312" w:cs="仿宋_GB2312"/>
          <w:strike w:val="0"/>
          <w:color w:val="auto"/>
          <w:sz w:val="28"/>
          <w:szCs w:val="28"/>
          <w:highlight w:val="none"/>
          <w:lang w:val="en-US" w:eastAsia="zh-CN"/>
        </w:rPr>
        <w:t>12.</w:t>
      </w:r>
      <w:r>
        <w:rPr>
          <w:rFonts w:hint="eastAsia" w:ascii="仿宋_GB2312" w:hAnsi="仿宋_GB2312" w:eastAsia="仿宋_GB2312" w:cs="仿宋_GB2312"/>
          <w:b w:val="0"/>
          <w:bCs w:val="0"/>
          <w:strike w:val="0"/>
          <w:color w:val="auto"/>
          <w:sz w:val="28"/>
          <w:szCs w:val="28"/>
          <w:highlight w:val="none"/>
          <w:lang w:val="en-US" w:eastAsia="zh-CN"/>
        </w:rPr>
        <w:t>其他补充资料：投标人认为需要提供的其他补充资料。</w:t>
      </w:r>
      <w:r>
        <w:rPr>
          <w:rFonts w:hint="eastAsia" w:ascii="仿宋_GB2312" w:hAnsi="仿宋_GB2312" w:eastAsia="仿宋_GB2312" w:cs="仿宋_GB2312"/>
          <w:strike w:val="0"/>
          <w:color w:val="auto"/>
          <w:sz w:val="28"/>
          <w:szCs w:val="28"/>
          <w:highlight w:val="none"/>
          <w:lang w:val="en-US" w:eastAsia="zh-CN"/>
        </w:rPr>
        <w:t>包含但不限于评审因素所要求的各类证明材料、体现投标人技术实力的相关佐证文件，以及投标人认为有必要提交的其他资料。格式由投标人自行拟定。</w:t>
      </w:r>
    </w:p>
    <w:p w14:paraId="14065243">
      <w:pPr>
        <w:keepNext w:val="0"/>
        <w:keepLines w:val="0"/>
        <w:pageBreakBefore w:val="0"/>
        <w:overflowPunct/>
        <w:bidi w:val="0"/>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以上材料，除需要原厂提供的证明材料加盖原厂商公章外，还需要加盖投标人单位公章，并建立索引表。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4214"/>
        <w:gridCol w:w="1511"/>
      </w:tblGrid>
      <w:tr w14:paraId="1692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6584" w:type="dxa"/>
            <w:gridSpan w:val="3"/>
            <w:noWrap w:val="0"/>
            <w:vAlign w:val="center"/>
          </w:tcPr>
          <w:p w14:paraId="3F6ACA95">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索引表</w:t>
            </w:r>
          </w:p>
        </w:tc>
      </w:tr>
      <w:tr w14:paraId="1533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859" w:type="dxa"/>
            <w:noWrap w:val="0"/>
            <w:vAlign w:val="center"/>
          </w:tcPr>
          <w:p w14:paraId="006E27CF">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序号</w:t>
            </w:r>
          </w:p>
        </w:tc>
        <w:tc>
          <w:tcPr>
            <w:tcW w:w="4214" w:type="dxa"/>
            <w:noWrap w:val="0"/>
            <w:vAlign w:val="center"/>
          </w:tcPr>
          <w:p w14:paraId="38A42657">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评分因素</w:t>
            </w:r>
          </w:p>
        </w:tc>
        <w:tc>
          <w:tcPr>
            <w:tcW w:w="1511" w:type="dxa"/>
            <w:noWrap w:val="0"/>
            <w:vAlign w:val="center"/>
          </w:tcPr>
          <w:p w14:paraId="2752E095">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页码范围</w:t>
            </w:r>
          </w:p>
        </w:tc>
      </w:tr>
      <w:tr w14:paraId="4912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9" w:type="dxa"/>
            <w:noWrap w:val="0"/>
            <w:vAlign w:val="center"/>
          </w:tcPr>
          <w:p w14:paraId="1496B9BF">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w:t>
            </w:r>
          </w:p>
        </w:tc>
        <w:tc>
          <w:tcPr>
            <w:tcW w:w="4214" w:type="dxa"/>
            <w:noWrap w:val="0"/>
            <w:vAlign w:val="center"/>
          </w:tcPr>
          <w:p w14:paraId="1699917B">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营业执照</w:t>
            </w:r>
          </w:p>
        </w:tc>
        <w:tc>
          <w:tcPr>
            <w:tcW w:w="1511" w:type="dxa"/>
            <w:noWrap w:val="0"/>
            <w:vAlign w:val="center"/>
          </w:tcPr>
          <w:p w14:paraId="59845875">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614E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859" w:type="dxa"/>
            <w:noWrap w:val="0"/>
            <w:vAlign w:val="center"/>
          </w:tcPr>
          <w:p w14:paraId="66AA846F">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w:t>
            </w:r>
          </w:p>
        </w:tc>
        <w:tc>
          <w:tcPr>
            <w:tcW w:w="4214" w:type="dxa"/>
            <w:noWrap w:val="0"/>
            <w:vAlign w:val="center"/>
          </w:tcPr>
          <w:p w14:paraId="0CA48F15">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ISO</w:t>
            </w:r>
            <w:r>
              <w:rPr>
                <w:rFonts w:hint="eastAsia" w:ascii="仿宋_GB2312" w:hAnsi="仿宋_GB2312" w:eastAsia="仿宋_GB2312" w:cs="仿宋_GB2312"/>
                <w:color w:val="auto"/>
                <w:sz w:val="28"/>
                <w:szCs w:val="28"/>
                <w:highlight w:val="none"/>
                <w:lang w:val="en-US" w:eastAsia="zh-CN"/>
              </w:rPr>
              <w:t>体系</w:t>
            </w:r>
            <w:r>
              <w:rPr>
                <w:rFonts w:hint="default" w:ascii="仿宋_GB2312" w:hAnsi="仿宋_GB2312" w:eastAsia="仿宋_GB2312" w:cs="仿宋_GB2312"/>
                <w:color w:val="auto"/>
                <w:sz w:val="28"/>
                <w:szCs w:val="28"/>
                <w:highlight w:val="none"/>
                <w:lang w:val="en-US" w:eastAsia="zh-CN"/>
              </w:rPr>
              <w:t>、CCRC、QC080000</w:t>
            </w:r>
            <w:r>
              <w:rPr>
                <w:rFonts w:hint="eastAsia" w:ascii="仿宋_GB2312" w:hAnsi="仿宋_GB2312" w:eastAsia="仿宋_GB2312" w:cs="仿宋_GB2312"/>
                <w:color w:val="auto"/>
                <w:sz w:val="28"/>
                <w:szCs w:val="28"/>
                <w:highlight w:val="none"/>
                <w:lang w:val="en-US" w:eastAsia="zh-CN"/>
              </w:rPr>
              <w:t>认证</w:t>
            </w:r>
          </w:p>
        </w:tc>
        <w:tc>
          <w:tcPr>
            <w:tcW w:w="1511" w:type="dxa"/>
            <w:noWrap w:val="0"/>
            <w:vAlign w:val="center"/>
          </w:tcPr>
          <w:p w14:paraId="4460DBA2">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73EF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9" w:type="dxa"/>
            <w:noWrap w:val="0"/>
            <w:vAlign w:val="center"/>
          </w:tcPr>
          <w:p w14:paraId="691652F4">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p>
        </w:tc>
        <w:tc>
          <w:tcPr>
            <w:tcW w:w="4214" w:type="dxa"/>
            <w:noWrap w:val="0"/>
            <w:vAlign w:val="center"/>
          </w:tcPr>
          <w:p w14:paraId="2E8CBC26">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highlight w:val="none"/>
                <w:lang w:val="en-US" w:eastAsia="zh-CN"/>
              </w:rPr>
              <w:t>产品认证</w:t>
            </w:r>
          </w:p>
        </w:tc>
        <w:tc>
          <w:tcPr>
            <w:tcW w:w="1511" w:type="dxa"/>
            <w:noWrap w:val="0"/>
            <w:vAlign w:val="center"/>
          </w:tcPr>
          <w:p w14:paraId="2A383540">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4819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9" w:type="dxa"/>
            <w:noWrap w:val="0"/>
            <w:vAlign w:val="center"/>
          </w:tcPr>
          <w:p w14:paraId="3D16FC6A">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w:t>
            </w:r>
          </w:p>
        </w:tc>
        <w:tc>
          <w:tcPr>
            <w:tcW w:w="4214" w:type="dxa"/>
            <w:noWrap w:val="0"/>
            <w:vAlign w:val="center"/>
          </w:tcPr>
          <w:p w14:paraId="31F655F1">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default" w:ascii="仿宋_GB2312" w:hAnsi="仿宋_GB2312" w:eastAsia="仿宋_GB2312" w:cs="仿宋_GB2312"/>
                <w:color w:val="auto"/>
                <w:sz w:val="28"/>
                <w:szCs w:val="28"/>
                <w:highlight w:val="none"/>
                <w:lang w:val="en-US" w:eastAsia="zh-CN"/>
              </w:rPr>
              <w:t>代理商或经销商证书和经销商质量管理体系认证证书</w:t>
            </w:r>
          </w:p>
        </w:tc>
        <w:tc>
          <w:tcPr>
            <w:tcW w:w="1511" w:type="dxa"/>
            <w:noWrap w:val="0"/>
            <w:vAlign w:val="center"/>
          </w:tcPr>
          <w:p w14:paraId="7F382F55">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09C5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9" w:type="dxa"/>
            <w:noWrap w:val="0"/>
            <w:vAlign w:val="center"/>
          </w:tcPr>
          <w:p w14:paraId="1279EAAF">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w:t>
            </w:r>
          </w:p>
        </w:tc>
        <w:tc>
          <w:tcPr>
            <w:tcW w:w="4214" w:type="dxa"/>
            <w:noWrap w:val="0"/>
            <w:vAlign w:val="center"/>
          </w:tcPr>
          <w:p w14:paraId="3C924988">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业绩案例</w:t>
            </w:r>
          </w:p>
        </w:tc>
        <w:tc>
          <w:tcPr>
            <w:tcW w:w="1511" w:type="dxa"/>
            <w:noWrap w:val="0"/>
            <w:vAlign w:val="center"/>
          </w:tcPr>
          <w:p w14:paraId="4F4CB6A8">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73E4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9" w:type="dxa"/>
            <w:noWrap w:val="0"/>
            <w:vAlign w:val="center"/>
          </w:tcPr>
          <w:p w14:paraId="226701F5">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w:t>
            </w:r>
          </w:p>
        </w:tc>
        <w:tc>
          <w:tcPr>
            <w:tcW w:w="4214" w:type="dxa"/>
            <w:noWrap w:val="0"/>
            <w:vAlign w:val="center"/>
          </w:tcPr>
          <w:p w14:paraId="08C24B95">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市场占有率</w:t>
            </w:r>
          </w:p>
        </w:tc>
        <w:tc>
          <w:tcPr>
            <w:tcW w:w="1511" w:type="dxa"/>
            <w:noWrap w:val="0"/>
            <w:vAlign w:val="center"/>
          </w:tcPr>
          <w:p w14:paraId="71791EB9">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258A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9" w:type="dxa"/>
            <w:noWrap w:val="0"/>
            <w:vAlign w:val="center"/>
          </w:tcPr>
          <w:p w14:paraId="403AC881">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7</w:t>
            </w:r>
          </w:p>
        </w:tc>
        <w:tc>
          <w:tcPr>
            <w:tcW w:w="4214" w:type="dxa"/>
            <w:noWrap w:val="0"/>
            <w:vAlign w:val="center"/>
          </w:tcPr>
          <w:p w14:paraId="4D64B61E">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产品技术参数</w:t>
            </w:r>
          </w:p>
        </w:tc>
        <w:tc>
          <w:tcPr>
            <w:tcW w:w="1511" w:type="dxa"/>
            <w:noWrap w:val="0"/>
            <w:vAlign w:val="center"/>
          </w:tcPr>
          <w:p w14:paraId="336027FE">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253CD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59" w:type="dxa"/>
            <w:noWrap w:val="0"/>
            <w:vAlign w:val="center"/>
          </w:tcPr>
          <w:p w14:paraId="7CCBE432">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8</w:t>
            </w:r>
          </w:p>
        </w:tc>
        <w:tc>
          <w:tcPr>
            <w:tcW w:w="4214" w:type="dxa"/>
            <w:noWrap w:val="0"/>
            <w:vAlign w:val="center"/>
          </w:tcPr>
          <w:p w14:paraId="33372F54">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技术方案</w:t>
            </w:r>
          </w:p>
        </w:tc>
        <w:tc>
          <w:tcPr>
            <w:tcW w:w="1511" w:type="dxa"/>
            <w:noWrap w:val="0"/>
            <w:vAlign w:val="center"/>
          </w:tcPr>
          <w:p w14:paraId="4C503474">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2A49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59" w:type="dxa"/>
            <w:noWrap w:val="0"/>
            <w:vAlign w:val="center"/>
          </w:tcPr>
          <w:p w14:paraId="65046B96">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9</w:t>
            </w:r>
          </w:p>
        </w:tc>
        <w:tc>
          <w:tcPr>
            <w:tcW w:w="4214" w:type="dxa"/>
            <w:noWrap w:val="0"/>
            <w:vAlign w:val="center"/>
          </w:tcPr>
          <w:p w14:paraId="187F608E">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售后服务方案</w:t>
            </w:r>
          </w:p>
        </w:tc>
        <w:tc>
          <w:tcPr>
            <w:tcW w:w="1511" w:type="dxa"/>
            <w:noWrap w:val="0"/>
            <w:vAlign w:val="center"/>
          </w:tcPr>
          <w:p w14:paraId="2AD26CBD">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42DB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59" w:type="dxa"/>
            <w:noWrap w:val="0"/>
            <w:vAlign w:val="center"/>
          </w:tcPr>
          <w:p w14:paraId="7BA432C4">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10</w:t>
            </w:r>
          </w:p>
        </w:tc>
        <w:tc>
          <w:tcPr>
            <w:tcW w:w="4214" w:type="dxa"/>
            <w:noWrap w:val="0"/>
            <w:vAlign w:val="center"/>
          </w:tcPr>
          <w:p w14:paraId="09EAA21D">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原厂授权书</w:t>
            </w:r>
          </w:p>
        </w:tc>
        <w:tc>
          <w:tcPr>
            <w:tcW w:w="1511" w:type="dxa"/>
            <w:noWrap w:val="0"/>
            <w:vAlign w:val="center"/>
          </w:tcPr>
          <w:p w14:paraId="22FC54C5">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44C6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59" w:type="dxa"/>
            <w:noWrap w:val="0"/>
            <w:vAlign w:val="center"/>
          </w:tcPr>
          <w:p w14:paraId="7A69C92E">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11</w:t>
            </w:r>
          </w:p>
        </w:tc>
        <w:tc>
          <w:tcPr>
            <w:tcW w:w="4214" w:type="dxa"/>
            <w:noWrap w:val="0"/>
            <w:vAlign w:val="center"/>
          </w:tcPr>
          <w:p w14:paraId="5D42BDB2">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质保服务</w:t>
            </w:r>
          </w:p>
        </w:tc>
        <w:tc>
          <w:tcPr>
            <w:tcW w:w="1511" w:type="dxa"/>
            <w:noWrap w:val="0"/>
            <w:vAlign w:val="center"/>
          </w:tcPr>
          <w:p w14:paraId="544AE1F5">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tr w14:paraId="15DC0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59" w:type="dxa"/>
            <w:noWrap w:val="0"/>
            <w:vAlign w:val="center"/>
          </w:tcPr>
          <w:p w14:paraId="5B737A3C">
            <w:pPr>
              <w:keepNext w:val="0"/>
              <w:keepLines w:val="0"/>
              <w:pageBreakBefore w:val="0"/>
              <w:suppressLineNumbers w:val="0"/>
              <w:overflowPunct/>
              <w:bidi w:val="0"/>
              <w:spacing w:before="0" w:beforeAutospacing="0" w:after="0" w:afterAutospacing="0" w:line="360" w:lineRule="auto"/>
              <w:ind w:left="0" w:right="0"/>
              <w:jc w:val="center"/>
              <w:rPr>
                <w:rFonts w:hint="default" w:ascii="仿宋_GB2312" w:hAnsi="仿宋_GB2312" w:eastAsia="仿宋_GB2312" w:cs="仿宋_GB2312"/>
                <w:color w:val="auto"/>
                <w:sz w:val="28"/>
                <w:szCs w:val="28"/>
                <w:highlight w:val="none"/>
                <w:lang w:val="en-US" w:eastAsia="zh-CN"/>
              </w:rPr>
            </w:pPr>
            <w:bookmarkStart w:id="876" w:name="_Toc10727"/>
            <w:bookmarkStart w:id="877" w:name="_Toc21129"/>
            <w:bookmarkStart w:id="878" w:name="_Toc15376"/>
            <w:bookmarkStart w:id="879" w:name="_Toc24593"/>
            <w:r>
              <w:rPr>
                <w:rFonts w:hint="eastAsia" w:ascii="仿宋_GB2312" w:hAnsi="仿宋_GB2312" w:eastAsia="仿宋_GB2312" w:cs="仿宋_GB2312"/>
                <w:color w:val="auto"/>
                <w:sz w:val="28"/>
                <w:szCs w:val="28"/>
                <w:highlight w:val="none"/>
                <w:lang w:val="en-US" w:eastAsia="zh-CN"/>
              </w:rPr>
              <w:t>12</w:t>
            </w:r>
          </w:p>
        </w:tc>
        <w:tc>
          <w:tcPr>
            <w:tcW w:w="4214" w:type="dxa"/>
            <w:noWrap w:val="0"/>
            <w:vAlign w:val="center"/>
          </w:tcPr>
          <w:p w14:paraId="7DC9DD42">
            <w:pPr>
              <w:keepNext w:val="0"/>
              <w:keepLines w:val="0"/>
              <w:pageBreakBefore w:val="0"/>
              <w:suppressLineNumbers w:val="0"/>
              <w:overflowPunct/>
              <w:bidi w:val="0"/>
              <w:spacing w:before="0" w:beforeAutospacing="0" w:after="0" w:afterAutospacing="0" w:line="360" w:lineRule="auto"/>
              <w:ind w:left="0" w:right="0"/>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其他补充资料</w:t>
            </w:r>
          </w:p>
        </w:tc>
        <w:tc>
          <w:tcPr>
            <w:tcW w:w="1511" w:type="dxa"/>
            <w:noWrap w:val="0"/>
            <w:vAlign w:val="center"/>
          </w:tcPr>
          <w:p w14:paraId="5B54401F">
            <w:pPr>
              <w:keepNext w:val="0"/>
              <w:keepLines w:val="0"/>
              <w:pageBreakBefore w:val="0"/>
              <w:widowControl/>
              <w:suppressLineNumbers w:val="0"/>
              <w:overflowPunct/>
              <w:bidi w:val="0"/>
              <w:adjustRightInd w:val="0"/>
              <w:snapToGrid w:val="0"/>
              <w:spacing w:before="0" w:beforeAutospacing="0" w:after="0" w:afterAutospacing="0" w:line="360" w:lineRule="auto"/>
              <w:ind w:left="0" w:right="0"/>
              <w:jc w:val="center"/>
              <w:rPr>
                <w:rFonts w:hint="eastAsia" w:ascii="仿宋_GB2312" w:hAnsi="仿宋_GB2312" w:eastAsia="仿宋_GB2312" w:cs="仿宋_GB2312"/>
                <w:b w:val="0"/>
                <w:bCs/>
                <w:i w:val="0"/>
                <w:iCs w:val="0"/>
                <w:color w:val="auto"/>
                <w:sz w:val="28"/>
                <w:szCs w:val="28"/>
                <w:highlight w:val="none"/>
                <w:lang w:val="en-US" w:eastAsia="zh-CN"/>
              </w:rPr>
            </w:pPr>
          </w:p>
        </w:tc>
      </w:tr>
      <w:bookmarkEnd w:id="876"/>
      <w:bookmarkEnd w:id="877"/>
      <w:bookmarkEnd w:id="878"/>
      <w:bookmarkEnd w:id="879"/>
    </w:tbl>
    <w:p w14:paraId="2C9E54E9">
      <w:pPr>
        <w:keepNext w:val="0"/>
        <w:keepLines w:val="0"/>
        <w:pageBreakBefore w:val="0"/>
        <w:overflowPunct/>
        <w:bidi w:val="0"/>
        <w:spacing w:line="240" w:lineRule="auto"/>
        <w:ind w:firstLine="0" w:firstLineChars="0"/>
        <w:rPr>
          <w:rFonts w:hint="eastAsia" w:ascii="仿宋_GB2312" w:hAnsi="仿宋_GB2312" w:eastAsia="仿宋_GB2312" w:cs="仿宋_GB2312"/>
          <w:strike/>
          <w:color w:val="auto"/>
          <w:sz w:val="28"/>
          <w:szCs w:val="28"/>
          <w:highlight w:val="none"/>
          <w:lang w:val="en-US" w:eastAsia="zh-CN"/>
        </w:rPr>
      </w:pPr>
    </w:p>
    <w:sectPr>
      <w:headerReference r:id="rId8" w:type="default"/>
      <w:footerReference r:id="rId9" w:type="default"/>
      <w:pgSz w:w="11906" w:h="16838"/>
      <w:pgMar w:top="1418" w:right="1701" w:bottom="1418" w:left="1701" w:header="851" w:footer="992" w:gutter="0"/>
      <w:pgNumType w:fmt="numberInDash" w:start="1"/>
      <w:cols w:space="420" w:num="1"/>
      <w:docGrid w:linePitch="381" w:charSpace="4708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embedRegular r:id="rId1" w:fontKey="{39A252D5-D536-499A-8D40-AC5B8FF1E403}"/>
  </w:font>
  <w:font w:name="微软雅黑">
    <w:panose1 w:val="020B0503020204020204"/>
    <w:charset w:val="86"/>
    <w:family w:val="auto"/>
    <w:pitch w:val="default"/>
    <w:sig w:usb0="80000287" w:usb1="2ACF3C50" w:usb2="00000016" w:usb3="00000000" w:csb0="0004001F" w:csb1="00000000"/>
    <w:embedRegular r:id="rId2" w:fontKey="{0FF7DD0D-08F5-4B1A-B08B-1B66FA4091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1D769">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0075"/>
                          </w:sdtPr>
                          <w:sdtContent>
                            <w:p w14:paraId="4FFB1BEA">
                              <w:pPr>
                                <w:pStyle w:val="9"/>
                                <w:jc w:val="center"/>
                              </w:pPr>
                              <w:r>
                                <w:fldChar w:fldCharType="begin"/>
                              </w:r>
                              <w:r>
                                <w:instrText xml:space="preserve">PAGE   \* MERGEFORMAT</w:instrText>
                              </w:r>
                              <w:r>
                                <w:fldChar w:fldCharType="separate"/>
                              </w:r>
                              <w:r>
                                <w:rPr>
                                  <w:lang w:val="zh-CN"/>
                                </w:rPr>
                                <w:t>2</w:t>
                              </w:r>
                              <w:r>
                                <w:rPr>
                                  <w:lang w:val="zh-CN"/>
                                </w:rPr>
                                <w:fldChar w:fldCharType="end"/>
                              </w:r>
                            </w:p>
                          </w:sdtContent>
                        </w:sdt>
                        <w:p w14:paraId="62480BAC"/>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60075"/>
                    </w:sdtPr>
                    <w:sdtContent>
                      <w:p w14:paraId="4FFB1BEA">
                        <w:pPr>
                          <w:pStyle w:val="9"/>
                          <w:jc w:val="center"/>
                        </w:pPr>
                        <w:r>
                          <w:fldChar w:fldCharType="begin"/>
                        </w:r>
                        <w:r>
                          <w:instrText xml:space="preserve">PAGE   \* MERGEFORMAT</w:instrText>
                        </w:r>
                        <w:r>
                          <w:fldChar w:fldCharType="separate"/>
                        </w:r>
                        <w:r>
                          <w:rPr>
                            <w:lang w:val="zh-CN"/>
                          </w:rPr>
                          <w:t>2</w:t>
                        </w:r>
                        <w:r>
                          <w:rPr>
                            <w:lang w:val="zh-CN"/>
                          </w:rPr>
                          <w:fldChar w:fldCharType="end"/>
                        </w:r>
                      </w:p>
                    </w:sdtContent>
                  </w:sdt>
                  <w:p w14:paraId="62480BAC"/>
                </w:txbxContent>
              </v:textbox>
            </v:shape>
          </w:pict>
        </mc:Fallback>
      </mc:AlternateContent>
    </w:r>
  </w:p>
  <w:p w14:paraId="6343A387">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61CF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05F5E">
                          <w:pPr>
                            <w:pStyle w:val="9"/>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405F5E">
                    <w:pPr>
                      <w:pStyle w:val="9"/>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B3EAB">
    <w:pPr>
      <w:pStyle w:val="9"/>
      <w:jc w:val="right"/>
      <w:rPr>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2260"/>
                          </w:sdtPr>
                          <w:sdtEndPr>
                            <w:rPr>
                              <w:sz w:val="21"/>
                              <w:szCs w:val="21"/>
                            </w:rPr>
                          </w:sdtEndPr>
                          <w:sdtContent>
                            <w:p w14:paraId="5E17262F">
                              <w:pPr>
                                <w:pStyle w:val="9"/>
                                <w:jc w:val="right"/>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13 -</w:t>
                              </w:r>
                              <w:r>
                                <w:rPr>
                                  <w:sz w:val="21"/>
                                  <w:szCs w:val="21"/>
                                </w:rPr>
                                <w:fldChar w:fldCharType="end"/>
                              </w:r>
                            </w:p>
                          </w:sdtContent>
                        </w:sdt>
                        <w:p w14:paraId="5AF3C8E1">
                          <w:pPr>
                            <w:rPr>
                              <w:sz w:val="21"/>
                              <w:szCs w:val="21"/>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sdt>
                    <w:sdtPr>
                      <w:id w:val="147482260"/>
                    </w:sdtPr>
                    <w:sdtEndPr>
                      <w:rPr>
                        <w:sz w:val="21"/>
                        <w:szCs w:val="21"/>
                      </w:rPr>
                    </w:sdtEndPr>
                    <w:sdtContent>
                      <w:p w14:paraId="5E17262F">
                        <w:pPr>
                          <w:pStyle w:val="9"/>
                          <w:jc w:val="right"/>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13 -</w:t>
                        </w:r>
                        <w:r>
                          <w:rPr>
                            <w:sz w:val="21"/>
                            <w:szCs w:val="21"/>
                          </w:rPr>
                          <w:fldChar w:fldCharType="end"/>
                        </w:r>
                      </w:p>
                    </w:sdtContent>
                  </w:sdt>
                  <w:p w14:paraId="5AF3C8E1">
                    <w:pPr>
                      <w:rPr>
                        <w:sz w:val="21"/>
                        <w:szCs w:val="21"/>
                      </w:rPr>
                    </w:pPr>
                  </w:p>
                </w:txbxContent>
              </v:textbox>
            </v:shape>
          </w:pict>
        </mc:Fallback>
      </mc:AlternateContent>
    </w:r>
  </w:p>
  <w:p w14:paraId="6597DB76">
    <w:pPr>
      <w:pStyle w:val="9"/>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34164">
    <w:pPr>
      <w:pStyle w:val="10"/>
      <w:pBdr>
        <w:bottom w:val="none" w:color="auto" w:sz="0" w:space="0"/>
      </w:pBdr>
      <w:jc w:val="both"/>
      <w:rPr>
        <w:rFonts w:ascii="微软雅黑" w:hAnsi="微软雅黑"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C057C">
    <w:pPr>
      <w:pStyle w:val="10"/>
      <w:pBdr>
        <w:bottom w:val="none" w:color="auto" w:sz="0" w:space="0"/>
      </w:pBdr>
      <w:jc w:val="right"/>
    </w:pPr>
  </w:p>
  <w:p w14:paraId="5686C07C">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CF07F6"/>
    <w:multiLevelType w:val="multilevel"/>
    <w:tmpl w:val="2ECF07F6"/>
    <w:lvl w:ilvl="0" w:tentative="0">
      <w:start w:val="1"/>
      <w:numFmt w:val="decimal"/>
      <w:lvlText w:val="%1"/>
      <w:lvlJc w:val="left"/>
      <w:pPr>
        <w:ind w:left="432" w:hanging="432"/>
      </w:pPr>
      <w:rPr>
        <w:rFonts w:ascii="仿宋" w:hAnsi="仿宋" w:eastAsia="仿宋"/>
      </w:rPr>
    </w:lvl>
    <w:lvl w:ilvl="1" w:tentative="0">
      <w:start w:val="1"/>
      <w:numFmt w:val="decimal"/>
      <w:pStyle w:val="3"/>
      <w:lvlText w:val="%1.%2"/>
      <w:lvlJc w:val="left"/>
      <w:pPr>
        <w:ind w:left="1002" w:hanging="576"/>
      </w:pPr>
      <w:rPr>
        <w:rFonts w:ascii="仿宋" w:hAnsi="仿宋" w:eastAsia="仿宋"/>
      </w:rPr>
    </w:lvl>
    <w:lvl w:ilvl="2" w:tentative="0">
      <w:start w:val="1"/>
      <w:numFmt w:val="decimal"/>
      <w:lvlText w:val="%1.%2.%3"/>
      <w:lvlJc w:val="left"/>
      <w:pPr>
        <w:ind w:left="720" w:hanging="720"/>
      </w:pPr>
    </w:lvl>
    <w:lvl w:ilvl="3" w:tentative="0">
      <w:start w:val="1"/>
      <w:numFmt w:val="decimal"/>
      <w:lvlText w:val="%1.%2.%3.%4"/>
      <w:lvlJc w:val="left"/>
      <w:pPr>
        <w:ind w:left="1432"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mZGIwZTIyYzM1MWQ5ZjlkZDViZTZkYzBmM2FmYzMifQ=="/>
  </w:docVars>
  <w:rsids>
    <w:rsidRoot w:val="29512934"/>
    <w:rsid w:val="00042539"/>
    <w:rsid w:val="00127050"/>
    <w:rsid w:val="002141C0"/>
    <w:rsid w:val="0024390B"/>
    <w:rsid w:val="00257FEC"/>
    <w:rsid w:val="002D0883"/>
    <w:rsid w:val="00386D80"/>
    <w:rsid w:val="00433647"/>
    <w:rsid w:val="004D6899"/>
    <w:rsid w:val="004E0863"/>
    <w:rsid w:val="00535E7A"/>
    <w:rsid w:val="005A2CEC"/>
    <w:rsid w:val="005D4603"/>
    <w:rsid w:val="00691069"/>
    <w:rsid w:val="00725EC6"/>
    <w:rsid w:val="00804720"/>
    <w:rsid w:val="008570A7"/>
    <w:rsid w:val="008B73C2"/>
    <w:rsid w:val="00915903"/>
    <w:rsid w:val="00A621C6"/>
    <w:rsid w:val="00AB2F8D"/>
    <w:rsid w:val="00B00300"/>
    <w:rsid w:val="00B0507A"/>
    <w:rsid w:val="00B46918"/>
    <w:rsid w:val="00B819E1"/>
    <w:rsid w:val="00B85CBC"/>
    <w:rsid w:val="00BE2195"/>
    <w:rsid w:val="00C00E64"/>
    <w:rsid w:val="00C726F9"/>
    <w:rsid w:val="00C9718E"/>
    <w:rsid w:val="00CD19C7"/>
    <w:rsid w:val="00D126D4"/>
    <w:rsid w:val="00DF1C41"/>
    <w:rsid w:val="00E344DC"/>
    <w:rsid w:val="00E55A55"/>
    <w:rsid w:val="00E55D7E"/>
    <w:rsid w:val="00E868CD"/>
    <w:rsid w:val="00EE7891"/>
    <w:rsid w:val="00EF5BA2"/>
    <w:rsid w:val="00F05477"/>
    <w:rsid w:val="00F52A8D"/>
    <w:rsid w:val="01130FED"/>
    <w:rsid w:val="0120791B"/>
    <w:rsid w:val="01235E37"/>
    <w:rsid w:val="012D66CB"/>
    <w:rsid w:val="0163262B"/>
    <w:rsid w:val="01714809"/>
    <w:rsid w:val="017B6504"/>
    <w:rsid w:val="0192652E"/>
    <w:rsid w:val="01973B44"/>
    <w:rsid w:val="01A7022B"/>
    <w:rsid w:val="01B97F5E"/>
    <w:rsid w:val="01F62F61"/>
    <w:rsid w:val="01F63F34"/>
    <w:rsid w:val="02025BF2"/>
    <w:rsid w:val="02184C85"/>
    <w:rsid w:val="02217FDE"/>
    <w:rsid w:val="023575E5"/>
    <w:rsid w:val="0250441F"/>
    <w:rsid w:val="025B3B50"/>
    <w:rsid w:val="027A5940"/>
    <w:rsid w:val="028A32CD"/>
    <w:rsid w:val="02936A01"/>
    <w:rsid w:val="02963DFC"/>
    <w:rsid w:val="02B01361"/>
    <w:rsid w:val="02D432A2"/>
    <w:rsid w:val="0309493D"/>
    <w:rsid w:val="030B47EA"/>
    <w:rsid w:val="033755DF"/>
    <w:rsid w:val="0341645D"/>
    <w:rsid w:val="034D6BB0"/>
    <w:rsid w:val="034E3E75"/>
    <w:rsid w:val="0382716C"/>
    <w:rsid w:val="03830C97"/>
    <w:rsid w:val="038A1BB2"/>
    <w:rsid w:val="039842CF"/>
    <w:rsid w:val="03DB1C83"/>
    <w:rsid w:val="03ED2496"/>
    <w:rsid w:val="03F92894"/>
    <w:rsid w:val="040556DD"/>
    <w:rsid w:val="04247911"/>
    <w:rsid w:val="043164D2"/>
    <w:rsid w:val="0442423B"/>
    <w:rsid w:val="04450820"/>
    <w:rsid w:val="04463D2B"/>
    <w:rsid w:val="0466617C"/>
    <w:rsid w:val="048F44A4"/>
    <w:rsid w:val="04A059DD"/>
    <w:rsid w:val="04AF72D6"/>
    <w:rsid w:val="04B14F1D"/>
    <w:rsid w:val="04B80181"/>
    <w:rsid w:val="04DA6989"/>
    <w:rsid w:val="04E43544"/>
    <w:rsid w:val="04FC594D"/>
    <w:rsid w:val="04FE63B4"/>
    <w:rsid w:val="051341F3"/>
    <w:rsid w:val="05145BD8"/>
    <w:rsid w:val="05152B7D"/>
    <w:rsid w:val="051C4A8C"/>
    <w:rsid w:val="05362A09"/>
    <w:rsid w:val="053B04D5"/>
    <w:rsid w:val="05445D91"/>
    <w:rsid w:val="05562FD6"/>
    <w:rsid w:val="058D7738"/>
    <w:rsid w:val="059A1024"/>
    <w:rsid w:val="05C00253"/>
    <w:rsid w:val="05C07B0D"/>
    <w:rsid w:val="05C52807"/>
    <w:rsid w:val="05D610DF"/>
    <w:rsid w:val="05F832F3"/>
    <w:rsid w:val="06055520"/>
    <w:rsid w:val="061E4834"/>
    <w:rsid w:val="06345E06"/>
    <w:rsid w:val="06405A11"/>
    <w:rsid w:val="0646400E"/>
    <w:rsid w:val="066C559F"/>
    <w:rsid w:val="06897EFF"/>
    <w:rsid w:val="06A26CA3"/>
    <w:rsid w:val="06AE5BB8"/>
    <w:rsid w:val="06BC02D5"/>
    <w:rsid w:val="06E4782C"/>
    <w:rsid w:val="06EE06AA"/>
    <w:rsid w:val="070D0B30"/>
    <w:rsid w:val="07244BB0"/>
    <w:rsid w:val="073055BB"/>
    <w:rsid w:val="073C1416"/>
    <w:rsid w:val="07660241"/>
    <w:rsid w:val="078608E3"/>
    <w:rsid w:val="07881D35"/>
    <w:rsid w:val="07972AF0"/>
    <w:rsid w:val="07A50D69"/>
    <w:rsid w:val="07AD1C22"/>
    <w:rsid w:val="07B15B08"/>
    <w:rsid w:val="07B23486"/>
    <w:rsid w:val="0825634E"/>
    <w:rsid w:val="086B4D3C"/>
    <w:rsid w:val="086E1AA3"/>
    <w:rsid w:val="08736678"/>
    <w:rsid w:val="087A1F0C"/>
    <w:rsid w:val="087D5842"/>
    <w:rsid w:val="088968DD"/>
    <w:rsid w:val="08A76D3E"/>
    <w:rsid w:val="08A917E1"/>
    <w:rsid w:val="08AC6127"/>
    <w:rsid w:val="08B17BE1"/>
    <w:rsid w:val="08F71A98"/>
    <w:rsid w:val="08FC3791"/>
    <w:rsid w:val="08FD32B2"/>
    <w:rsid w:val="090D0944"/>
    <w:rsid w:val="09116625"/>
    <w:rsid w:val="091E5277"/>
    <w:rsid w:val="09230190"/>
    <w:rsid w:val="092D370C"/>
    <w:rsid w:val="09353038"/>
    <w:rsid w:val="093C394F"/>
    <w:rsid w:val="095073FA"/>
    <w:rsid w:val="09510A7C"/>
    <w:rsid w:val="095F763D"/>
    <w:rsid w:val="096D58B6"/>
    <w:rsid w:val="09880D71"/>
    <w:rsid w:val="099B5E8A"/>
    <w:rsid w:val="09AD03A9"/>
    <w:rsid w:val="09B84C5E"/>
    <w:rsid w:val="09BB0D18"/>
    <w:rsid w:val="09BF1E8A"/>
    <w:rsid w:val="0A014251"/>
    <w:rsid w:val="0A0C3321"/>
    <w:rsid w:val="0A1569B2"/>
    <w:rsid w:val="0A1B7A08"/>
    <w:rsid w:val="0A2F0DBE"/>
    <w:rsid w:val="0A375EC4"/>
    <w:rsid w:val="0A391C3C"/>
    <w:rsid w:val="0A6767AA"/>
    <w:rsid w:val="0A6B35FA"/>
    <w:rsid w:val="0A83110A"/>
    <w:rsid w:val="0A951569"/>
    <w:rsid w:val="0AA35095"/>
    <w:rsid w:val="0ABD286D"/>
    <w:rsid w:val="0ACB31DC"/>
    <w:rsid w:val="0AD32091"/>
    <w:rsid w:val="0AD35BED"/>
    <w:rsid w:val="0AE16ED8"/>
    <w:rsid w:val="0AF73FD1"/>
    <w:rsid w:val="0B0C3C89"/>
    <w:rsid w:val="0B3D0003"/>
    <w:rsid w:val="0B492353"/>
    <w:rsid w:val="0B492B80"/>
    <w:rsid w:val="0B4B5358"/>
    <w:rsid w:val="0B511A6F"/>
    <w:rsid w:val="0B582596"/>
    <w:rsid w:val="0B6B4077"/>
    <w:rsid w:val="0B73117E"/>
    <w:rsid w:val="0B745622"/>
    <w:rsid w:val="0B925AA8"/>
    <w:rsid w:val="0BD7170D"/>
    <w:rsid w:val="0BF26547"/>
    <w:rsid w:val="0BF64289"/>
    <w:rsid w:val="0C0075FE"/>
    <w:rsid w:val="0C01678A"/>
    <w:rsid w:val="0C0D3381"/>
    <w:rsid w:val="0C144A90"/>
    <w:rsid w:val="0C22507E"/>
    <w:rsid w:val="0C2801BA"/>
    <w:rsid w:val="0C3060BA"/>
    <w:rsid w:val="0C436DA2"/>
    <w:rsid w:val="0C4C20FB"/>
    <w:rsid w:val="0C517711"/>
    <w:rsid w:val="0C580AA0"/>
    <w:rsid w:val="0C7B653C"/>
    <w:rsid w:val="0C833643"/>
    <w:rsid w:val="0C85560D"/>
    <w:rsid w:val="0C940D33"/>
    <w:rsid w:val="0C946488"/>
    <w:rsid w:val="0CA247B5"/>
    <w:rsid w:val="0CC31C91"/>
    <w:rsid w:val="0CE31F61"/>
    <w:rsid w:val="0CF714AA"/>
    <w:rsid w:val="0D004C93"/>
    <w:rsid w:val="0D054058"/>
    <w:rsid w:val="0D0B3D64"/>
    <w:rsid w:val="0D1129FD"/>
    <w:rsid w:val="0D1344FE"/>
    <w:rsid w:val="0D1557C7"/>
    <w:rsid w:val="0D162709"/>
    <w:rsid w:val="0D295F98"/>
    <w:rsid w:val="0D5D3E94"/>
    <w:rsid w:val="0D7116ED"/>
    <w:rsid w:val="0D7D0092"/>
    <w:rsid w:val="0D8238FA"/>
    <w:rsid w:val="0D8366EA"/>
    <w:rsid w:val="0D847672"/>
    <w:rsid w:val="0DB80CEF"/>
    <w:rsid w:val="0DC363ED"/>
    <w:rsid w:val="0DC83A03"/>
    <w:rsid w:val="0DCF4D92"/>
    <w:rsid w:val="0DD72635"/>
    <w:rsid w:val="0DE46D10"/>
    <w:rsid w:val="0DFE7425"/>
    <w:rsid w:val="0E1053AA"/>
    <w:rsid w:val="0E116AEE"/>
    <w:rsid w:val="0E1F739B"/>
    <w:rsid w:val="0E211365"/>
    <w:rsid w:val="0E547045"/>
    <w:rsid w:val="0E576B35"/>
    <w:rsid w:val="0E601E8E"/>
    <w:rsid w:val="0E71575C"/>
    <w:rsid w:val="0E772D33"/>
    <w:rsid w:val="0E7D2A40"/>
    <w:rsid w:val="0E7D3B73"/>
    <w:rsid w:val="0E811E04"/>
    <w:rsid w:val="0E9E6512"/>
    <w:rsid w:val="0ECF018D"/>
    <w:rsid w:val="0ED624A7"/>
    <w:rsid w:val="0EE26D46"/>
    <w:rsid w:val="0EEA4601"/>
    <w:rsid w:val="0EF44175"/>
    <w:rsid w:val="0F1E557C"/>
    <w:rsid w:val="0F2A5FF8"/>
    <w:rsid w:val="0F41676A"/>
    <w:rsid w:val="0F6B0AEA"/>
    <w:rsid w:val="0F79431E"/>
    <w:rsid w:val="0FA1275E"/>
    <w:rsid w:val="0FAB7138"/>
    <w:rsid w:val="0FAE09D7"/>
    <w:rsid w:val="0FB665B0"/>
    <w:rsid w:val="0FBA6514"/>
    <w:rsid w:val="0FC1695C"/>
    <w:rsid w:val="0FC95811"/>
    <w:rsid w:val="0FD146C5"/>
    <w:rsid w:val="0FDA17CC"/>
    <w:rsid w:val="0FF7237E"/>
    <w:rsid w:val="0FFC1742"/>
    <w:rsid w:val="100B4B01"/>
    <w:rsid w:val="102962AF"/>
    <w:rsid w:val="10433815"/>
    <w:rsid w:val="10523A58"/>
    <w:rsid w:val="10593038"/>
    <w:rsid w:val="10613C9B"/>
    <w:rsid w:val="10615A49"/>
    <w:rsid w:val="107439CE"/>
    <w:rsid w:val="10892F46"/>
    <w:rsid w:val="10FB56D8"/>
    <w:rsid w:val="111807FE"/>
    <w:rsid w:val="111F3CDF"/>
    <w:rsid w:val="112B0C0D"/>
    <w:rsid w:val="112B362E"/>
    <w:rsid w:val="112F4685"/>
    <w:rsid w:val="113A41CF"/>
    <w:rsid w:val="113B0990"/>
    <w:rsid w:val="11423ACC"/>
    <w:rsid w:val="116A792A"/>
    <w:rsid w:val="11785740"/>
    <w:rsid w:val="118063A3"/>
    <w:rsid w:val="11A227BD"/>
    <w:rsid w:val="11A42091"/>
    <w:rsid w:val="11A976A8"/>
    <w:rsid w:val="11C75D80"/>
    <w:rsid w:val="11D31D5B"/>
    <w:rsid w:val="11D81D3B"/>
    <w:rsid w:val="120314AE"/>
    <w:rsid w:val="120668A8"/>
    <w:rsid w:val="12076395"/>
    <w:rsid w:val="12535865"/>
    <w:rsid w:val="12A61E39"/>
    <w:rsid w:val="12AF5192"/>
    <w:rsid w:val="12BE3627"/>
    <w:rsid w:val="12C0114D"/>
    <w:rsid w:val="12D746E8"/>
    <w:rsid w:val="12D76496"/>
    <w:rsid w:val="12E070F9"/>
    <w:rsid w:val="12F157AA"/>
    <w:rsid w:val="130B063D"/>
    <w:rsid w:val="13313C85"/>
    <w:rsid w:val="135D4BEE"/>
    <w:rsid w:val="1385255D"/>
    <w:rsid w:val="13871C6A"/>
    <w:rsid w:val="139E2CE4"/>
    <w:rsid w:val="13B62550"/>
    <w:rsid w:val="13B900C0"/>
    <w:rsid w:val="13E470BD"/>
    <w:rsid w:val="13E57CC1"/>
    <w:rsid w:val="14005579"/>
    <w:rsid w:val="14027543"/>
    <w:rsid w:val="14233968"/>
    <w:rsid w:val="142E6621"/>
    <w:rsid w:val="146D2C0E"/>
    <w:rsid w:val="14942891"/>
    <w:rsid w:val="14B051F1"/>
    <w:rsid w:val="14D40EDF"/>
    <w:rsid w:val="14EF5D19"/>
    <w:rsid w:val="14F71BC2"/>
    <w:rsid w:val="14FB0265"/>
    <w:rsid w:val="14FB46BE"/>
    <w:rsid w:val="15175270"/>
    <w:rsid w:val="153C6A85"/>
    <w:rsid w:val="1542409B"/>
    <w:rsid w:val="15576CFC"/>
    <w:rsid w:val="156404B5"/>
    <w:rsid w:val="15673B02"/>
    <w:rsid w:val="157955E3"/>
    <w:rsid w:val="157B75AD"/>
    <w:rsid w:val="15AE1816"/>
    <w:rsid w:val="15EF7363"/>
    <w:rsid w:val="161377E5"/>
    <w:rsid w:val="16322361"/>
    <w:rsid w:val="164E6A70"/>
    <w:rsid w:val="166E7112"/>
    <w:rsid w:val="167069E6"/>
    <w:rsid w:val="168B7CC4"/>
    <w:rsid w:val="16A2220E"/>
    <w:rsid w:val="16B131F2"/>
    <w:rsid w:val="16B63FC0"/>
    <w:rsid w:val="16D52CED"/>
    <w:rsid w:val="170A0BE8"/>
    <w:rsid w:val="17171557"/>
    <w:rsid w:val="172D2B29"/>
    <w:rsid w:val="17312619"/>
    <w:rsid w:val="17342109"/>
    <w:rsid w:val="173B5A87"/>
    <w:rsid w:val="174324EB"/>
    <w:rsid w:val="17484486"/>
    <w:rsid w:val="174C1201"/>
    <w:rsid w:val="17575DF8"/>
    <w:rsid w:val="175C756B"/>
    <w:rsid w:val="177B1AE6"/>
    <w:rsid w:val="177B3894"/>
    <w:rsid w:val="17806157"/>
    <w:rsid w:val="17836BED"/>
    <w:rsid w:val="17B521EA"/>
    <w:rsid w:val="17BB0135"/>
    <w:rsid w:val="17C463A4"/>
    <w:rsid w:val="17C50FB3"/>
    <w:rsid w:val="17D64F6F"/>
    <w:rsid w:val="17E01B36"/>
    <w:rsid w:val="17E551B2"/>
    <w:rsid w:val="181F6915"/>
    <w:rsid w:val="18387273"/>
    <w:rsid w:val="1844637C"/>
    <w:rsid w:val="18512847"/>
    <w:rsid w:val="18615D13"/>
    <w:rsid w:val="18842C1C"/>
    <w:rsid w:val="188D1AD1"/>
    <w:rsid w:val="189746FE"/>
    <w:rsid w:val="18A254E0"/>
    <w:rsid w:val="18A94431"/>
    <w:rsid w:val="18AC5CCF"/>
    <w:rsid w:val="18B02F50"/>
    <w:rsid w:val="18BA03EC"/>
    <w:rsid w:val="18BA663E"/>
    <w:rsid w:val="18DF7E53"/>
    <w:rsid w:val="18E96032"/>
    <w:rsid w:val="18F90F15"/>
    <w:rsid w:val="18F953B8"/>
    <w:rsid w:val="19020DC0"/>
    <w:rsid w:val="19145D4E"/>
    <w:rsid w:val="193B777F"/>
    <w:rsid w:val="193E4A18"/>
    <w:rsid w:val="19566367"/>
    <w:rsid w:val="195A572B"/>
    <w:rsid w:val="19630A84"/>
    <w:rsid w:val="1980215C"/>
    <w:rsid w:val="198D78AF"/>
    <w:rsid w:val="19962C07"/>
    <w:rsid w:val="199F38AE"/>
    <w:rsid w:val="19A55909"/>
    <w:rsid w:val="19AF6752"/>
    <w:rsid w:val="19DD25E4"/>
    <w:rsid w:val="19DF7F1A"/>
    <w:rsid w:val="19E93022"/>
    <w:rsid w:val="1A0D0200"/>
    <w:rsid w:val="1A0E3162"/>
    <w:rsid w:val="1A1E49AB"/>
    <w:rsid w:val="1A253F8B"/>
    <w:rsid w:val="1A332204"/>
    <w:rsid w:val="1A644AB4"/>
    <w:rsid w:val="1A7F63F9"/>
    <w:rsid w:val="1A8213DE"/>
    <w:rsid w:val="1A932D34"/>
    <w:rsid w:val="1A9C424D"/>
    <w:rsid w:val="1AA475A6"/>
    <w:rsid w:val="1AB01AA7"/>
    <w:rsid w:val="1ABD41C4"/>
    <w:rsid w:val="1ABF7F3C"/>
    <w:rsid w:val="1AC83294"/>
    <w:rsid w:val="1AD05CA5"/>
    <w:rsid w:val="1AEE0821"/>
    <w:rsid w:val="1B256925"/>
    <w:rsid w:val="1B373F76"/>
    <w:rsid w:val="1B474FB9"/>
    <w:rsid w:val="1B4B17D0"/>
    <w:rsid w:val="1B4D553A"/>
    <w:rsid w:val="1B4F5986"/>
    <w:rsid w:val="1B570174"/>
    <w:rsid w:val="1B5D6770"/>
    <w:rsid w:val="1B7776DA"/>
    <w:rsid w:val="1B8151F1"/>
    <w:rsid w:val="1B937848"/>
    <w:rsid w:val="1BC5531A"/>
    <w:rsid w:val="1BCF2401"/>
    <w:rsid w:val="1BE37C5A"/>
    <w:rsid w:val="1C177904"/>
    <w:rsid w:val="1C200EAE"/>
    <w:rsid w:val="1C273FEB"/>
    <w:rsid w:val="1C4E77C9"/>
    <w:rsid w:val="1C522596"/>
    <w:rsid w:val="1C755A82"/>
    <w:rsid w:val="1C7C4725"/>
    <w:rsid w:val="1C945405"/>
    <w:rsid w:val="1C9C2643"/>
    <w:rsid w:val="1CC7132A"/>
    <w:rsid w:val="1CCC06EE"/>
    <w:rsid w:val="1CCD2DCF"/>
    <w:rsid w:val="1CE7377A"/>
    <w:rsid w:val="1CEC0D90"/>
    <w:rsid w:val="1D2142A0"/>
    <w:rsid w:val="1D2B18B9"/>
    <w:rsid w:val="1D2E3157"/>
    <w:rsid w:val="1D372D62"/>
    <w:rsid w:val="1D612B3B"/>
    <w:rsid w:val="1D9A07EC"/>
    <w:rsid w:val="1DAB6BCE"/>
    <w:rsid w:val="1DB52291"/>
    <w:rsid w:val="1DC818C9"/>
    <w:rsid w:val="1DE33F41"/>
    <w:rsid w:val="1DFB128B"/>
    <w:rsid w:val="1DFB572F"/>
    <w:rsid w:val="1E0F4D36"/>
    <w:rsid w:val="1E125D3E"/>
    <w:rsid w:val="1E1C7453"/>
    <w:rsid w:val="1E285DF8"/>
    <w:rsid w:val="1E391DB3"/>
    <w:rsid w:val="1E3B5B2B"/>
    <w:rsid w:val="1E3D7AF5"/>
    <w:rsid w:val="1E432227"/>
    <w:rsid w:val="1E5310C7"/>
    <w:rsid w:val="1E560BB7"/>
    <w:rsid w:val="1E5A11E8"/>
    <w:rsid w:val="1E672DC4"/>
    <w:rsid w:val="1E786D7F"/>
    <w:rsid w:val="1E8454F3"/>
    <w:rsid w:val="1E9516DF"/>
    <w:rsid w:val="1EA453F3"/>
    <w:rsid w:val="1EA5569B"/>
    <w:rsid w:val="1EF503D0"/>
    <w:rsid w:val="1EF65EF6"/>
    <w:rsid w:val="1EFB52BB"/>
    <w:rsid w:val="1EFD7285"/>
    <w:rsid w:val="1F097E05"/>
    <w:rsid w:val="1F0A5310"/>
    <w:rsid w:val="1F271BE9"/>
    <w:rsid w:val="1F2B3DF2"/>
    <w:rsid w:val="1F63358C"/>
    <w:rsid w:val="1FAF67D1"/>
    <w:rsid w:val="1FBA6F24"/>
    <w:rsid w:val="1FE4051E"/>
    <w:rsid w:val="1FFB1A16"/>
    <w:rsid w:val="2027280B"/>
    <w:rsid w:val="202F6387"/>
    <w:rsid w:val="203A511E"/>
    <w:rsid w:val="204C2272"/>
    <w:rsid w:val="204C4637"/>
    <w:rsid w:val="206749B4"/>
    <w:rsid w:val="208960CC"/>
    <w:rsid w:val="20915ED7"/>
    <w:rsid w:val="20A35C0A"/>
    <w:rsid w:val="20AA6F98"/>
    <w:rsid w:val="20AF2801"/>
    <w:rsid w:val="20DD55C0"/>
    <w:rsid w:val="20DE38EC"/>
    <w:rsid w:val="20DE6C42"/>
    <w:rsid w:val="20F6042F"/>
    <w:rsid w:val="210963B5"/>
    <w:rsid w:val="21224D81"/>
    <w:rsid w:val="215A7B32"/>
    <w:rsid w:val="215C4736"/>
    <w:rsid w:val="21616461"/>
    <w:rsid w:val="216435EB"/>
    <w:rsid w:val="217771F7"/>
    <w:rsid w:val="217D61A9"/>
    <w:rsid w:val="217F21D3"/>
    <w:rsid w:val="21867BCC"/>
    <w:rsid w:val="218C059C"/>
    <w:rsid w:val="219315A3"/>
    <w:rsid w:val="219537A4"/>
    <w:rsid w:val="21A25EC1"/>
    <w:rsid w:val="21A659B2"/>
    <w:rsid w:val="21BF17E1"/>
    <w:rsid w:val="21E93AF0"/>
    <w:rsid w:val="21EE1107"/>
    <w:rsid w:val="21EF0DEF"/>
    <w:rsid w:val="22105521"/>
    <w:rsid w:val="222F3BF9"/>
    <w:rsid w:val="223E0997"/>
    <w:rsid w:val="22433200"/>
    <w:rsid w:val="22765384"/>
    <w:rsid w:val="2277734E"/>
    <w:rsid w:val="22AD4B1E"/>
    <w:rsid w:val="22C06E47"/>
    <w:rsid w:val="22C75BE0"/>
    <w:rsid w:val="2325291A"/>
    <w:rsid w:val="232544FD"/>
    <w:rsid w:val="232C1EE7"/>
    <w:rsid w:val="23311EC9"/>
    <w:rsid w:val="23445482"/>
    <w:rsid w:val="235C0A1E"/>
    <w:rsid w:val="23AB3753"/>
    <w:rsid w:val="23B26890"/>
    <w:rsid w:val="23C27922"/>
    <w:rsid w:val="23CE11F0"/>
    <w:rsid w:val="23D41D37"/>
    <w:rsid w:val="23DA7B95"/>
    <w:rsid w:val="23FF75FB"/>
    <w:rsid w:val="240864B0"/>
    <w:rsid w:val="240E0859"/>
    <w:rsid w:val="24101808"/>
    <w:rsid w:val="24155071"/>
    <w:rsid w:val="2423778D"/>
    <w:rsid w:val="242A28CA"/>
    <w:rsid w:val="243E0123"/>
    <w:rsid w:val="2446347C"/>
    <w:rsid w:val="2483022C"/>
    <w:rsid w:val="249266C1"/>
    <w:rsid w:val="24A87C93"/>
    <w:rsid w:val="24AD3DD7"/>
    <w:rsid w:val="24B73DFA"/>
    <w:rsid w:val="24C43462"/>
    <w:rsid w:val="24C83E91"/>
    <w:rsid w:val="24E4577B"/>
    <w:rsid w:val="24E85B0E"/>
    <w:rsid w:val="24F00B4F"/>
    <w:rsid w:val="24FE78B3"/>
    <w:rsid w:val="254A0D4A"/>
    <w:rsid w:val="255231DD"/>
    <w:rsid w:val="2560231B"/>
    <w:rsid w:val="256718FC"/>
    <w:rsid w:val="25801376"/>
    <w:rsid w:val="25853B30"/>
    <w:rsid w:val="25A20B86"/>
    <w:rsid w:val="25F173D4"/>
    <w:rsid w:val="261A071C"/>
    <w:rsid w:val="262E5F76"/>
    <w:rsid w:val="263317DE"/>
    <w:rsid w:val="263B7010"/>
    <w:rsid w:val="2657371E"/>
    <w:rsid w:val="265C69B1"/>
    <w:rsid w:val="265E685B"/>
    <w:rsid w:val="267274AB"/>
    <w:rsid w:val="26773DC1"/>
    <w:rsid w:val="267E0CAB"/>
    <w:rsid w:val="268362C1"/>
    <w:rsid w:val="26AD333E"/>
    <w:rsid w:val="26BB5A5B"/>
    <w:rsid w:val="26CC00B6"/>
    <w:rsid w:val="26DD00C8"/>
    <w:rsid w:val="26E825C8"/>
    <w:rsid w:val="26F23447"/>
    <w:rsid w:val="26F31699"/>
    <w:rsid w:val="270218DC"/>
    <w:rsid w:val="271B474C"/>
    <w:rsid w:val="27282AC5"/>
    <w:rsid w:val="27345CFB"/>
    <w:rsid w:val="273932D9"/>
    <w:rsid w:val="273B094A"/>
    <w:rsid w:val="274517C9"/>
    <w:rsid w:val="274572A5"/>
    <w:rsid w:val="275B0FEC"/>
    <w:rsid w:val="276C4FA7"/>
    <w:rsid w:val="277A5916"/>
    <w:rsid w:val="278F0C96"/>
    <w:rsid w:val="27914A0E"/>
    <w:rsid w:val="27A46AEA"/>
    <w:rsid w:val="27A74232"/>
    <w:rsid w:val="27A97FAA"/>
    <w:rsid w:val="27B674D4"/>
    <w:rsid w:val="27C76682"/>
    <w:rsid w:val="27F61A9E"/>
    <w:rsid w:val="27F76F67"/>
    <w:rsid w:val="28027565"/>
    <w:rsid w:val="280B2A12"/>
    <w:rsid w:val="28221B0A"/>
    <w:rsid w:val="28377C67"/>
    <w:rsid w:val="284301C5"/>
    <w:rsid w:val="28980A8C"/>
    <w:rsid w:val="28B5297E"/>
    <w:rsid w:val="28BE5CD7"/>
    <w:rsid w:val="28C01A4F"/>
    <w:rsid w:val="28F11C08"/>
    <w:rsid w:val="292518B2"/>
    <w:rsid w:val="292C3F1A"/>
    <w:rsid w:val="29303E0D"/>
    <w:rsid w:val="29512934"/>
    <w:rsid w:val="29556CCF"/>
    <w:rsid w:val="29564161"/>
    <w:rsid w:val="29721576"/>
    <w:rsid w:val="29726B72"/>
    <w:rsid w:val="29736AC1"/>
    <w:rsid w:val="29AC69ED"/>
    <w:rsid w:val="29EE6148"/>
    <w:rsid w:val="29FF0355"/>
    <w:rsid w:val="2A111BBA"/>
    <w:rsid w:val="2A1D2FA8"/>
    <w:rsid w:val="2A2474D0"/>
    <w:rsid w:val="2A473AAA"/>
    <w:rsid w:val="2A781EB5"/>
    <w:rsid w:val="2A7B22B9"/>
    <w:rsid w:val="2A9D65E3"/>
    <w:rsid w:val="2AAD3E42"/>
    <w:rsid w:val="2ADF3CE2"/>
    <w:rsid w:val="2AE309C0"/>
    <w:rsid w:val="2AE449EF"/>
    <w:rsid w:val="2AEC4567"/>
    <w:rsid w:val="2AEF4C89"/>
    <w:rsid w:val="2AF43C32"/>
    <w:rsid w:val="2AF77232"/>
    <w:rsid w:val="2B004385"/>
    <w:rsid w:val="2B065713"/>
    <w:rsid w:val="2B1B11BE"/>
    <w:rsid w:val="2B4637B2"/>
    <w:rsid w:val="2B473D61"/>
    <w:rsid w:val="2B6D12EE"/>
    <w:rsid w:val="2B85488A"/>
    <w:rsid w:val="2B8723B0"/>
    <w:rsid w:val="2B8A3D12"/>
    <w:rsid w:val="2B9E76FA"/>
    <w:rsid w:val="2BAA0794"/>
    <w:rsid w:val="2BB46F1D"/>
    <w:rsid w:val="2BBA09D7"/>
    <w:rsid w:val="2BD12955"/>
    <w:rsid w:val="2BD521D1"/>
    <w:rsid w:val="2BE05F64"/>
    <w:rsid w:val="2C0C0B07"/>
    <w:rsid w:val="2C131E96"/>
    <w:rsid w:val="2C22675B"/>
    <w:rsid w:val="2C3047F6"/>
    <w:rsid w:val="2C340A16"/>
    <w:rsid w:val="2C352DBE"/>
    <w:rsid w:val="2C471B3F"/>
    <w:rsid w:val="2C4B7881"/>
    <w:rsid w:val="2C6646BB"/>
    <w:rsid w:val="2C7843EE"/>
    <w:rsid w:val="2C791D6A"/>
    <w:rsid w:val="2C9805ED"/>
    <w:rsid w:val="2CA43435"/>
    <w:rsid w:val="2CB86433"/>
    <w:rsid w:val="2CCB09C2"/>
    <w:rsid w:val="2CD64511"/>
    <w:rsid w:val="2CE657FC"/>
    <w:rsid w:val="2CEB2EBD"/>
    <w:rsid w:val="2CED0939"/>
    <w:rsid w:val="2CFF16E5"/>
    <w:rsid w:val="2D1D1BED"/>
    <w:rsid w:val="2D301C53"/>
    <w:rsid w:val="2D40315E"/>
    <w:rsid w:val="2D4F33A1"/>
    <w:rsid w:val="2D4F514F"/>
    <w:rsid w:val="2D52241C"/>
    <w:rsid w:val="2D57768A"/>
    <w:rsid w:val="2D6C5D01"/>
    <w:rsid w:val="2D7574BA"/>
    <w:rsid w:val="2D8172D3"/>
    <w:rsid w:val="2D964B2C"/>
    <w:rsid w:val="2DA01E4F"/>
    <w:rsid w:val="2DA03BFD"/>
    <w:rsid w:val="2DA42713"/>
    <w:rsid w:val="2DA96B06"/>
    <w:rsid w:val="2DB11966"/>
    <w:rsid w:val="2DB43204"/>
    <w:rsid w:val="2DB94CBF"/>
    <w:rsid w:val="2DC1698E"/>
    <w:rsid w:val="2DC86CB0"/>
    <w:rsid w:val="2DD13DB6"/>
    <w:rsid w:val="2DD218DC"/>
    <w:rsid w:val="2DD51ADF"/>
    <w:rsid w:val="2DEF248E"/>
    <w:rsid w:val="2E0B65B6"/>
    <w:rsid w:val="2E1168A9"/>
    <w:rsid w:val="2E163EBF"/>
    <w:rsid w:val="2E312AA7"/>
    <w:rsid w:val="2E3F6F72"/>
    <w:rsid w:val="2E440819"/>
    <w:rsid w:val="2E4B1DBB"/>
    <w:rsid w:val="2E5B660F"/>
    <w:rsid w:val="2E7D7A9A"/>
    <w:rsid w:val="2E89643F"/>
    <w:rsid w:val="2E921798"/>
    <w:rsid w:val="2E960B5C"/>
    <w:rsid w:val="2E9F2106"/>
    <w:rsid w:val="2EC97183"/>
    <w:rsid w:val="2ED00512"/>
    <w:rsid w:val="2EDA313F"/>
    <w:rsid w:val="2EDC0415"/>
    <w:rsid w:val="2F191EB9"/>
    <w:rsid w:val="2F326AD7"/>
    <w:rsid w:val="2F3A1C98"/>
    <w:rsid w:val="2F484F42"/>
    <w:rsid w:val="2F6D7B0F"/>
    <w:rsid w:val="2F884949"/>
    <w:rsid w:val="2F9279B6"/>
    <w:rsid w:val="2F994DA8"/>
    <w:rsid w:val="2FC47A51"/>
    <w:rsid w:val="2FC65F0A"/>
    <w:rsid w:val="2FCA31B3"/>
    <w:rsid w:val="2FDD5A67"/>
    <w:rsid w:val="2FE34275"/>
    <w:rsid w:val="2FEC09B7"/>
    <w:rsid w:val="300A1801"/>
    <w:rsid w:val="302F3B93"/>
    <w:rsid w:val="303074BA"/>
    <w:rsid w:val="306E1D90"/>
    <w:rsid w:val="30755662"/>
    <w:rsid w:val="308415B4"/>
    <w:rsid w:val="30896BCA"/>
    <w:rsid w:val="308C2216"/>
    <w:rsid w:val="308C311F"/>
    <w:rsid w:val="30B03747"/>
    <w:rsid w:val="30D836AE"/>
    <w:rsid w:val="30FD3114"/>
    <w:rsid w:val="31460401"/>
    <w:rsid w:val="315A0567"/>
    <w:rsid w:val="316D2048"/>
    <w:rsid w:val="318B4309"/>
    <w:rsid w:val="319E66A5"/>
    <w:rsid w:val="31A66AB4"/>
    <w:rsid w:val="31AF55A4"/>
    <w:rsid w:val="31B71515"/>
    <w:rsid w:val="31D65E3F"/>
    <w:rsid w:val="31D811CF"/>
    <w:rsid w:val="31DB79D8"/>
    <w:rsid w:val="31E22A36"/>
    <w:rsid w:val="31E85B72"/>
    <w:rsid w:val="31F641E6"/>
    <w:rsid w:val="32452FC5"/>
    <w:rsid w:val="32513718"/>
    <w:rsid w:val="326C2300"/>
    <w:rsid w:val="32803FFD"/>
    <w:rsid w:val="32A0644D"/>
    <w:rsid w:val="32C94540"/>
    <w:rsid w:val="32D700C1"/>
    <w:rsid w:val="32E60304"/>
    <w:rsid w:val="33055452"/>
    <w:rsid w:val="33265EB1"/>
    <w:rsid w:val="333C1CA5"/>
    <w:rsid w:val="334D0383"/>
    <w:rsid w:val="334D3EDF"/>
    <w:rsid w:val="33586221"/>
    <w:rsid w:val="335A2AA0"/>
    <w:rsid w:val="335F3C12"/>
    <w:rsid w:val="33680D19"/>
    <w:rsid w:val="3381002D"/>
    <w:rsid w:val="33AB50A9"/>
    <w:rsid w:val="33DA14EB"/>
    <w:rsid w:val="33DB75DC"/>
    <w:rsid w:val="33E16D1D"/>
    <w:rsid w:val="33F56325"/>
    <w:rsid w:val="33FE78CF"/>
    <w:rsid w:val="341744ED"/>
    <w:rsid w:val="34311A53"/>
    <w:rsid w:val="34525525"/>
    <w:rsid w:val="34621C0C"/>
    <w:rsid w:val="347A2C24"/>
    <w:rsid w:val="348E325C"/>
    <w:rsid w:val="34B75674"/>
    <w:rsid w:val="34D348B8"/>
    <w:rsid w:val="34D90058"/>
    <w:rsid w:val="35041B80"/>
    <w:rsid w:val="350902DA"/>
    <w:rsid w:val="351A6043"/>
    <w:rsid w:val="355F614C"/>
    <w:rsid w:val="35942299"/>
    <w:rsid w:val="359D0A22"/>
    <w:rsid w:val="35A26B4B"/>
    <w:rsid w:val="35A5434E"/>
    <w:rsid w:val="35A95619"/>
    <w:rsid w:val="35C42453"/>
    <w:rsid w:val="35CF1523"/>
    <w:rsid w:val="35D30D14"/>
    <w:rsid w:val="35D95EFE"/>
    <w:rsid w:val="35ED19A9"/>
    <w:rsid w:val="35EF3A10"/>
    <w:rsid w:val="35FD7B19"/>
    <w:rsid w:val="36010FB1"/>
    <w:rsid w:val="36033AE1"/>
    <w:rsid w:val="3609784F"/>
    <w:rsid w:val="360F36CE"/>
    <w:rsid w:val="36124C6D"/>
    <w:rsid w:val="361A2073"/>
    <w:rsid w:val="361C228F"/>
    <w:rsid w:val="361E1B63"/>
    <w:rsid w:val="36203B2D"/>
    <w:rsid w:val="36266C69"/>
    <w:rsid w:val="364762A9"/>
    <w:rsid w:val="36656148"/>
    <w:rsid w:val="367714D5"/>
    <w:rsid w:val="367E56C3"/>
    <w:rsid w:val="36A4475E"/>
    <w:rsid w:val="36BD75CE"/>
    <w:rsid w:val="36D72D27"/>
    <w:rsid w:val="36DF5796"/>
    <w:rsid w:val="36E24A44"/>
    <w:rsid w:val="36ED017D"/>
    <w:rsid w:val="37076A9B"/>
    <w:rsid w:val="370C450C"/>
    <w:rsid w:val="37110AC5"/>
    <w:rsid w:val="37225683"/>
    <w:rsid w:val="37284AA6"/>
    <w:rsid w:val="374101FF"/>
    <w:rsid w:val="374455F9"/>
    <w:rsid w:val="37450207"/>
    <w:rsid w:val="37475453"/>
    <w:rsid w:val="374D7F37"/>
    <w:rsid w:val="374E46CA"/>
    <w:rsid w:val="375515B4"/>
    <w:rsid w:val="375A4E1C"/>
    <w:rsid w:val="37601453"/>
    <w:rsid w:val="376A4579"/>
    <w:rsid w:val="37882DBA"/>
    <w:rsid w:val="37920A5A"/>
    <w:rsid w:val="37994EFC"/>
    <w:rsid w:val="37A442EA"/>
    <w:rsid w:val="37A60062"/>
    <w:rsid w:val="37AF506E"/>
    <w:rsid w:val="37B65D16"/>
    <w:rsid w:val="37CD55EE"/>
    <w:rsid w:val="37DE77FC"/>
    <w:rsid w:val="37F039D3"/>
    <w:rsid w:val="38044D88"/>
    <w:rsid w:val="380A05F1"/>
    <w:rsid w:val="380E4D17"/>
    <w:rsid w:val="381B3A34"/>
    <w:rsid w:val="38233460"/>
    <w:rsid w:val="383218F5"/>
    <w:rsid w:val="3839587C"/>
    <w:rsid w:val="38517682"/>
    <w:rsid w:val="385C4EE1"/>
    <w:rsid w:val="388365F5"/>
    <w:rsid w:val="388E2615"/>
    <w:rsid w:val="389E342F"/>
    <w:rsid w:val="38AC7765"/>
    <w:rsid w:val="38AD71CE"/>
    <w:rsid w:val="38B247E4"/>
    <w:rsid w:val="38B57C60"/>
    <w:rsid w:val="38B642D4"/>
    <w:rsid w:val="38BD5663"/>
    <w:rsid w:val="38C033A5"/>
    <w:rsid w:val="38C70290"/>
    <w:rsid w:val="38D52024"/>
    <w:rsid w:val="38D94467"/>
    <w:rsid w:val="38E52E0C"/>
    <w:rsid w:val="38F4304F"/>
    <w:rsid w:val="39007C46"/>
    <w:rsid w:val="39100CEA"/>
    <w:rsid w:val="391C0D1A"/>
    <w:rsid w:val="39241B86"/>
    <w:rsid w:val="392845EB"/>
    <w:rsid w:val="393671C3"/>
    <w:rsid w:val="39391637"/>
    <w:rsid w:val="394915ED"/>
    <w:rsid w:val="39504729"/>
    <w:rsid w:val="395B30CE"/>
    <w:rsid w:val="395D29A2"/>
    <w:rsid w:val="39787FA3"/>
    <w:rsid w:val="39893797"/>
    <w:rsid w:val="39921B3C"/>
    <w:rsid w:val="39A22AAB"/>
    <w:rsid w:val="39A46823"/>
    <w:rsid w:val="39AB195F"/>
    <w:rsid w:val="39C72511"/>
    <w:rsid w:val="39C973B3"/>
    <w:rsid w:val="39CE564E"/>
    <w:rsid w:val="39D215E2"/>
    <w:rsid w:val="39E2185E"/>
    <w:rsid w:val="3A231E3E"/>
    <w:rsid w:val="3A245508"/>
    <w:rsid w:val="3A502507"/>
    <w:rsid w:val="3A520F9D"/>
    <w:rsid w:val="3A5A656B"/>
    <w:rsid w:val="3A687753"/>
    <w:rsid w:val="3A7B7DBF"/>
    <w:rsid w:val="3A8C79E3"/>
    <w:rsid w:val="3A8F1281"/>
    <w:rsid w:val="3AAC1E33"/>
    <w:rsid w:val="3AB02FA5"/>
    <w:rsid w:val="3B5E4783"/>
    <w:rsid w:val="3B750477"/>
    <w:rsid w:val="3B806E1C"/>
    <w:rsid w:val="3B9052B1"/>
    <w:rsid w:val="3B911029"/>
    <w:rsid w:val="3B9C2BBA"/>
    <w:rsid w:val="3BB32D4D"/>
    <w:rsid w:val="3BCE402B"/>
    <w:rsid w:val="3BCE5122"/>
    <w:rsid w:val="3BDA29D0"/>
    <w:rsid w:val="3BF20BF2"/>
    <w:rsid w:val="3BFD575D"/>
    <w:rsid w:val="3BFF61D6"/>
    <w:rsid w:val="3C0A47E2"/>
    <w:rsid w:val="3C1E56A6"/>
    <w:rsid w:val="3C4E2A76"/>
    <w:rsid w:val="3C500125"/>
    <w:rsid w:val="3C6D55F2"/>
    <w:rsid w:val="3C7324DC"/>
    <w:rsid w:val="3C783C4C"/>
    <w:rsid w:val="3C797AF3"/>
    <w:rsid w:val="3C9012E0"/>
    <w:rsid w:val="3C917532"/>
    <w:rsid w:val="3C925059"/>
    <w:rsid w:val="3C937406"/>
    <w:rsid w:val="3CF4186F"/>
    <w:rsid w:val="3D096A38"/>
    <w:rsid w:val="3D567A39"/>
    <w:rsid w:val="3D583BAC"/>
    <w:rsid w:val="3D767023"/>
    <w:rsid w:val="3D962926"/>
    <w:rsid w:val="3D9B618F"/>
    <w:rsid w:val="3D9F5F5D"/>
    <w:rsid w:val="3D9F7A2D"/>
    <w:rsid w:val="3DCC5EAB"/>
    <w:rsid w:val="3DEE4511"/>
    <w:rsid w:val="3DF5764D"/>
    <w:rsid w:val="3DF80EEB"/>
    <w:rsid w:val="3DFC435A"/>
    <w:rsid w:val="3DFD0D30"/>
    <w:rsid w:val="3E1C5342"/>
    <w:rsid w:val="3E2449C7"/>
    <w:rsid w:val="3E257E84"/>
    <w:rsid w:val="3E3102AB"/>
    <w:rsid w:val="3E42660A"/>
    <w:rsid w:val="3E7A3FF6"/>
    <w:rsid w:val="3E976956"/>
    <w:rsid w:val="3EA1096C"/>
    <w:rsid w:val="3EAE35B1"/>
    <w:rsid w:val="3EC65D55"/>
    <w:rsid w:val="3EDC080D"/>
    <w:rsid w:val="3EE9440D"/>
    <w:rsid w:val="3EF06066"/>
    <w:rsid w:val="3EFB5ACC"/>
    <w:rsid w:val="3F0F2990"/>
    <w:rsid w:val="3F1B1335"/>
    <w:rsid w:val="3F3E3276"/>
    <w:rsid w:val="3F400D9C"/>
    <w:rsid w:val="3F425C71"/>
    <w:rsid w:val="3F4630ED"/>
    <w:rsid w:val="3F5220BF"/>
    <w:rsid w:val="3F5465F5"/>
    <w:rsid w:val="3F850EA5"/>
    <w:rsid w:val="3F8744BE"/>
    <w:rsid w:val="3FAD7E35"/>
    <w:rsid w:val="3FB452E6"/>
    <w:rsid w:val="3FD87226"/>
    <w:rsid w:val="3FDA2F9E"/>
    <w:rsid w:val="3FEB51AC"/>
    <w:rsid w:val="3FEF631E"/>
    <w:rsid w:val="40183AC7"/>
    <w:rsid w:val="40210B70"/>
    <w:rsid w:val="4024246B"/>
    <w:rsid w:val="40436D96"/>
    <w:rsid w:val="40447136"/>
    <w:rsid w:val="404C46A3"/>
    <w:rsid w:val="40503261"/>
    <w:rsid w:val="405302B5"/>
    <w:rsid w:val="406B009A"/>
    <w:rsid w:val="407F76A2"/>
    <w:rsid w:val="40832F57"/>
    <w:rsid w:val="409273D5"/>
    <w:rsid w:val="40AB0497"/>
    <w:rsid w:val="40C61775"/>
    <w:rsid w:val="40CC4C3A"/>
    <w:rsid w:val="40ED0AAF"/>
    <w:rsid w:val="40F91DB5"/>
    <w:rsid w:val="41200E85"/>
    <w:rsid w:val="412C782A"/>
    <w:rsid w:val="413B5CBF"/>
    <w:rsid w:val="414C15B6"/>
    <w:rsid w:val="41831BE9"/>
    <w:rsid w:val="41CD302F"/>
    <w:rsid w:val="41CE6B33"/>
    <w:rsid w:val="41D349E5"/>
    <w:rsid w:val="41E35BFC"/>
    <w:rsid w:val="41E9396D"/>
    <w:rsid w:val="421B33FA"/>
    <w:rsid w:val="421E55B3"/>
    <w:rsid w:val="4226071D"/>
    <w:rsid w:val="42366187"/>
    <w:rsid w:val="42386A23"/>
    <w:rsid w:val="423F358D"/>
    <w:rsid w:val="423F5D09"/>
    <w:rsid w:val="424222B9"/>
    <w:rsid w:val="424D3EFC"/>
    <w:rsid w:val="425A03C6"/>
    <w:rsid w:val="426254CD"/>
    <w:rsid w:val="427D66D0"/>
    <w:rsid w:val="427E2771"/>
    <w:rsid w:val="428C4B3F"/>
    <w:rsid w:val="42982C9D"/>
    <w:rsid w:val="42AA0BA9"/>
    <w:rsid w:val="42B06238"/>
    <w:rsid w:val="42B50F19"/>
    <w:rsid w:val="42D57A4D"/>
    <w:rsid w:val="42DF267A"/>
    <w:rsid w:val="42E163F2"/>
    <w:rsid w:val="42E27DAE"/>
    <w:rsid w:val="431A39DA"/>
    <w:rsid w:val="43274B4D"/>
    <w:rsid w:val="43456981"/>
    <w:rsid w:val="43635059"/>
    <w:rsid w:val="43741014"/>
    <w:rsid w:val="43903D02"/>
    <w:rsid w:val="43A13796"/>
    <w:rsid w:val="43D60B8C"/>
    <w:rsid w:val="43D917BF"/>
    <w:rsid w:val="43EA14FA"/>
    <w:rsid w:val="43ED0DC6"/>
    <w:rsid w:val="43EE526A"/>
    <w:rsid w:val="43F253EC"/>
    <w:rsid w:val="44191BBB"/>
    <w:rsid w:val="442962A2"/>
    <w:rsid w:val="444A710A"/>
    <w:rsid w:val="444C3FF6"/>
    <w:rsid w:val="44683056"/>
    <w:rsid w:val="448434D9"/>
    <w:rsid w:val="448905C3"/>
    <w:rsid w:val="44890AEF"/>
    <w:rsid w:val="44BC0EC5"/>
    <w:rsid w:val="44DD1721"/>
    <w:rsid w:val="44E421C9"/>
    <w:rsid w:val="44F41C55"/>
    <w:rsid w:val="44F93EC7"/>
    <w:rsid w:val="451309A3"/>
    <w:rsid w:val="453749EF"/>
    <w:rsid w:val="45487347"/>
    <w:rsid w:val="454D4212"/>
    <w:rsid w:val="457801A8"/>
    <w:rsid w:val="45797469"/>
    <w:rsid w:val="457E43CC"/>
    <w:rsid w:val="45BA7E1A"/>
    <w:rsid w:val="45D4223E"/>
    <w:rsid w:val="45DD5596"/>
    <w:rsid w:val="45F96148"/>
    <w:rsid w:val="46146ADE"/>
    <w:rsid w:val="46357180"/>
    <w:rsid w:val="463A50D8"/>
    <w:rsid w:val="46406C9A"/>
    <w:rsid w:val="465E7D59"/>
    <w:rsid w:val="466335A3"/>
    <w:rsid w:val="467B090B"/>
    <w:rsid w:val="469C5977"/>
    <w:rsid w:val="46E36784"/>
    <w:rsid w:val="46ED7A5B"/>
    <w:rsid w:val="46FB6BAB"/>
    <w:rsid w:val="470362D1"/>
    <w:rsid w:val="47095F17"/>
    <w:rsid w:val="47160D44"/>
    <w:rsid w:val="4783216D"/>
    <w:rsid w:val="47857C94"/>
    <w:rsid w:val="47975C19"/>
    <w:rsid w:val="47A3636C"/>
    <w:rsid w:val="47A977DD"/>
    <w:rsid w:val="47B42327"/>
    <w:rsid w:val="47D33428"/>
    <w:rsid w:val="47D78EFC"/>
    <w:rsid w:val="47FA33DA"/>
    <w:rsid w:val="47FE35A2"/>
    <w:rsid w:val="4800556C"/>
    <w:rsid w:val="48036E0A"/>
    <w:rsid w:val="481132D5"/>
    <w:rsid w:val="481A3A9E"/>
    <w:rsid w:val="482A083B"/>
    <w:rsid w:val="482C46F7"/>
    <w:rsid w:val="487A531F"/>
    <w:rsid w:val="487D6C4D"/>
    <w:rsid w:val="48847F4B"/>
    <w:rsid w:val="488D5CF0"/>
    <w:rsid w:val="48965ED0"/>
    <w:rsid w:val="48A60C4B"/>
    <w:rsid w:val="48B52A2C"/>
    <w:rsid w:val="48C60564"/>
    <w:rsid w:val="48D06372"/>
    <w:rsid w:val="48DD765B"/>
    <w:rsid w:val="48E704DA"/>
    <w:rsid w:val="48FD5F50"/>
    <w:rsid w:val="49043D99"/>
    <w:rsid w:val="493F20C4"/>
    <w:rsid w:val="4961203A"/>
    <w:rsid w:val="496833C9"/>
    <w:rsid w:val="49691876"/>
    <w:rsid w:val="497A3B96"/>
    <w:rsid w:val="497E2BEC"/>
    <w:rsid w:val="49B27B2C"/>
    <w:rsid w:val="49C36B95"/>
    <w:rsid w:val="49CA5E32"/>
    <w:rsid w:val="49D767A1"/>
    <w:rsid w:val="49D97EC1"/>
    <w:rsid w:val="49E014BA"/>
    <w:rsid w:val="49FD1E2E"/>
    <w:rsid w:val="4A0977B8"/>
    <w:rsid w:val="4A3634C7"/>
    <w:rsid w:val="4A3D2AA8"/>
    <w:rsid w:val="4A477482"/>
    <w:rsid w:val="4A4C6847"/>
    <w:rsid w:val="4A527BD5"/>
    <w:rsid w:val="4A8601EC"/>
    <w:rsid w:val="4A8C30E7"/>
    <w:rsid w:val="4A9B332A"/>
    <w:rsid w:val="4AA01549"/>
    <w:rsid w:val="4AC94D68"/>
    <w:rsid w:val="4AD54A8E"/>
    <w:rsid w:val="4AD63A00"/>
    <w:rsid w:val="4AD92144"/>
    <w:rsid w:val="4B4E65EF"/>
    <w:rsid w:val="4B5C0D0B"/>
    <w:rsid w:val="4B78366B"/>
    <w:rsid w:val="4B7C7600"/>
    <w:rsid w:val="4BBB13B5"/>
    <w:rsid w:val="4BEB5322"/>
    <w:rsid w:val="4BF2341E"/>
    <w:rsid w:val="4C0B2731"/>
    <w:rsid w:val="4C3E48B5"/>
    <w:rsid w:val="4C4F0870"/>
    <w:rsid w:val="4C567E51"/>
    <w:rsid w:val="4C6360CA"/>
    <w:rsid w:val="4C825AA7"/>
    <w:rsid w:val="4C864533"/>
    <w:rsid w:val="4C8F2D15"/>
    <w:rsid w:val="4C975D73"/>
    <w:rsid w:val="4C983FC5"/>
    <w:rsid w:val="4C9D4B1B"/>
    <w:rsid w:val="4CB84667"/>
    <w:rsid w:val="4CC748AA"/>
    <w:rsid w:val="4CCB6A94"/>
    <w:rsid w:val="4CCE79E7"/>
    <w:rsid w:val="4CCF375F"/>
    <w:rsid w:val="4D02113E"/>
    <w:rsid w:val="4D0E24D9"/>
    <w:rsid w:val="4D144EEC"/>
    <w:rsid w:val="4D230F27"/>
    <w:rsid w:val="4D355CB8"/>
    <w:rsid w:val="4D387556"/>
    <w:rsid w:val="4D5A74CD"/>
    <w:rsid w:val="4D61085B"/>
    <w:rsid w:val="4D7367E0"/>
    <w:rsid w:val="4D761E2D"/>
    <w:rsid w:val="4D9A3D6D"/>
    <w:rsid w:val="4DB51036"/>
    <w:rsid w:val="4DC40DEA"/>
    <w:rsid w:val="4DC75479"/>
    <w:rsid w:val="4DD454D1"/>
    <w:rsid w:val="4DED20EF"/>
    <w:rsid w:val="4DFF7A8E"/>
    <w:rsid w:val="4E0D4016"/>
    <w:rsid w:val="4E422B8B"/>
    <w:rsid w:val="4E481A1B"/>
    <w:rsid w:val="4E530427"/>
    <w:rsid w:val="4E724CEA"/>
    <w:rsid w:val="4ED84D30"/>
    <w:rsid w:val="4F11005F"/>
    <w:rsid w:val="4F1E5A43"/>
    <w:rsid w:val="4F2C4E99"/>
    <w:rsid w:val="4F31425D"/>
    <w:rsid w:val="4F3159C1"/>
    <w:rsid w:val="4F4977F9"/>
    <w:rsid w:val="4F5010E4"/>
    <w:rsid w:val="4F664600"/>
    <w:rsid w:val="4F6B3C13"/>
    <w:rsid w:val="4F8922EB"/>
    <w:rsid w:val="4FF84CC2"/>
    <w:rsid w:val="4FFF435B"/>
    <w:rsid w:val="50281B04"/>
    <w:rsid w:val="503009B9"/>
    <w:rsid w:val="50305133"/>
    <w:rsid w:val="503C7A6B"/>
    <w:rsid w:val="50507095"/>
    <w:rsid w:val="505E2AED"/>
    <w:rsid w:val="508D1967"/>
    <w:rsid w:val="50D37CC2"/>
    <w:rsid w:val="50D44200"/>
    <w:rsid w:val="510460CD"/>
    <w:rsid w:val="511B3417"/>
    <w:rsid w:val="511D56D0"/>
    <w:rsid w:val="51200A2D"/>
    <w:rsid w:val="51275918"/>
    <w:rsid w:val="51363DAD"/>
    <w:rsid w:val="5139564B"/>
    <w:rsid w:val="51782617"/>
    <w:rsid w:val="517D7C2E"/>
    <w:rsid w:val="51A54F85"/>
    <w:rsid w:val="51B97834"/>
    <w:rsid w:val="51CC4711"/>
    <w:rsid w:val="51F24178"/>
    <w:rsid w:val="52224331"/>
    <w:rsid w:val="52232583"/>
    <w:rsid w:val="52262073"/>
    <w:rsid w:val="52323C88"/>
    <w:rsid w:val="523D3D99"/>
    <w:rsid w:val="52707792"/>
    <w:rsid w:val="527903F5"/>
    <w:rsid w:val="529C40E3"/>
    <w:rsid w:val="52A5743C"/>
    <w:rsid w:val="52B4142D"/>
    <w:rsid w:val="52EA0C77"/>
    <w:rsid w:val="52EB0768"/>
    <w:rsid w:val="52ED4AE9"/>
    <w:rsid w:val="531D5787"/>
    <w:rsid w:val="53241F28"/>
    <w:rsid w:val="532A5B93"/>
    <w:rsid w:val="532E1E14"/>
    <w:rsid w:val="538708F0"/>
    <w:rsid w:val="538A03E0"/>
    <w:rsid w:val="53980258"/>
    <w:rsid w:val="53BD6A07"/>
    <w:rsid w:val="53CB2ED2"/>
    <w:rsid w:val="53D33B35"/>
    <w:rsid w:val="53DD49B3"/>
    <w:rsid w:val="53E47AF0"/>
    <w:rsid w:val="53EF5DA2"/>
    <w:rsid w:val="53F35F85"/>
    <w:rsid w:val="53F817ED"/>
    <w:rsid w:val="53FA7313"/>
    <w:rsid w:val="540C7047"/>
    <w:rsid w:val="54172B74"/>
    <w:rsid w:val="5432718D"/>
    <w:rsid w:val="54340819"/>
    <w:rsid w:val="54370568"/>
    <w:rsid w:val="54387E3C"/>
    <w:rsid w:val="54446A80"/>
    <w:rsid w:val="54460C2C"/>
    <w:rsid w:val="54530EF2"/>
    <w:rsid w:val="54587ABB"/>
    <w:rsid w:val="54705828"/>
    <w:rsid w:val="54723C7D"/>
    <w:rsid w:val="5474356A"/>
    <w:rsid w:val="548F0716"/>
    <w:rsid w:val="54B0031A"/>
    <w:rsid w:val="54B1183C"/>
    <w:rsid w:val="54BA27C4"/>
    <w:rsid w:val="54D44008"/>
    <w:rsid w:val="54D70991"/>
    <w:rsid w:val="54DA1F11"/>
    <w:rsid w:val="54DC69F7"/>
    <w:rsid w:val="54DE4E87"/>
    <w:rsid w:val="54E24DCF"/>
    <w:rsid w:val="550A17D8"/>
    <w:rsid w:val="550B72FE"/>
    <w:rsid w:val="55102B67"/>
    <w:rsid w:val="552D350A"/>
    <w:rsid w:val="5563538C"/>
    <w:rsid w:val="55823A64"/>
    <w:rsid w:val="558A46C7"/>
    <w:rsid w:val="559F4616"/>
    <w:rsid w:val="55E0078B"/>
    <w:rsid w:val="55F47A7B"/>
    <w:rsid w:val="55F66200"/>
    <w:rsid w:val="5603632F"/>
    <w:rsid w:val="564156CE"/>
    <w:rsid w:val="56576C9F"/>
    <w:rsid w:val="56625C48"/>
    <w:rsid w:val="56633896"/>
    <w:rsid w:val="56A417B8"/>
    <w:rsid w:val="56A63FEE"/>
    <w:rsid w:val="56AF0889"/>
    <w:rsid w:val="56B20379"/>
    <w:rsid w:val="56B8BE9D"/>
    <w:rsid w:val="56C1680E"/>
    <w:rsid w:val="56E2109B"/>
    <w:rsid w:val="56E524FD"/>
    <w:rsid w:val="56F72230"/>
    <w:rsid w:val="56FE536D"/>
    <w:rsid w:val="570227A8"/>
    <w:rsid w:val="570B199B"/>
    <w:rsid w:val="57245576"/>
    <w:rsid w:val="57315F2B"/>
    <w:rsid w:val="57460AC2"/>
    <w:rsid w:val="5777C815"/>
    <w:rsid w:val="578B0038"/>
    <w:rsid w:val="578D66F1"/>
    <w:rsid w:val="579637F7"/>
    <w:rsid w:val="579F6DCF"/>
    <w:rsid w:val="57B0552D"/>
    <w:rsid w:val="57B13C22"/>
    <w:rsid w:val="57CE2F91"/>
    <w:rsid w:val="57DB4414"/>
    <w:rsid w:val="57E91B79"/>
    <w:rsid w:val="57E97DCB"/>
    <w:rsid w:val="58150BC0"/>
    <w:rsid w:val="581F1A3E"/>
    <w:rsid w:val="581F559B"/>
    <w:rsid w:val="5822508B"/>
    <w:rsid w:val="584077DE"/>
    <w:rsid w:val="58421289"/>
    <w:rsid w:val="58501BF8"/>
    <w:rsid w:val="585316E8"/>
    <w:rsid w:val="58584F50"/>
    <w:rsid w:val="586345C7"/>
    <w:rsid w:val="587D46A8"/>
    <w:rsid w:val="5882681F"/>
    <w:rsid w:val="58A41C1D"/>
    <w:rsid w:val="58A61818"/>
    <w:rsid w:val="58C437B6"/>
    <w:rsid w:val="58E40592"/>
    <w:rsid w:val="590B3D71"/>
    <w:rsid w:val="590E37BF"/>
    <w:rsid w:val="5913247C"/>
    <w:rsid w:val="59144E93"/>
    <w:rsid w:val="592E4385"/>
    <w:rsid w:val="592F7A5F"/>
    <w:rsid w:val="594349C5"/>
    <w:rsid w:val="59A3044D"/>
    <w:rsid w:val="59BE7035"/>
    <w:rsid w:val="59C4289D"/>
    <w:rsid w:val="59D95C1D"/>
    <w:rsid w:val="59D979CB"/>
    <w:rsid w:val="59EC76FE"/>
    <w:rsid w:val="59ED3476"/>
    <w:rsid w:val="59F7B46C"/>
    <w:rsid w:val="5A0233C6"/>
    <w:rsid w:val="5A1153B7"/>
    <w:rsid w:val="5A160C1F"/>
    <w:rsid w:val="5A1D3D5C"/>
    <w:rsid w:val="5A32392B"/>
    <w:rsid w:val="5A433162"/>
    <w:rsid w:val="5A5B2AD6"/>
    <w:rsid w:val="5A737E20"/>
    <w:rsid w:val="5A9D2064"/>
    <w:rsid w:val="5ABC2226"/>
    <w:rsid w:val="5AF34ABD"/>
    <w:rsid w:val="5B10566E"/>
    <w:rsid w:val="5B141F49"/>
    <w:rsid w:val="5B1769FD"/>
    <w:rsid w:val="5B1B42A8"/>
    <w:rsid w:val="5B1E5FDD"/>
    <w:rsid w:val="5B307ABF"/>
    <w:rsid w:val="5B35414A"/>
    <w:rsid w:val="5B4B4302"/>
    <w:rsid w:val="5B4F43E9"/>
    <w:rsid w:val="5B6065F6"/>
    <w:rsid w:val="5B6F05E7"/>
    <w:rsid w:val="5B701C4D"/>
    <w:rsid w:val="5B82245A"/>
    <w:rsid w:val="5BAB5397"/>
    <w:rsid w:val="5BAE2B14"/>
    <w:rsid w:val="5BB3096C"/>
    <w:rsid w:val="5BBB7CD0"/>
    <w:rsid w:val="5BCF72D8"/>
    <w:rsid w:val="5BDB360F"/>
    <w:rsid w:val="5BE30FD5"/>
    <w:rsid w:val="5C0351D3"/>
    <w:rsid w:val="5C210309"/>
    <w:rsid w:val="5C5617A7"/>
    <w:rsid w:val="5C577DB0"/>
    <w:rsid w:val="5C677510"/>
    <w:rsid w:val="5C78796F"/>
    <w:rsid w:val="5C7B12A5"/>
    <w:rsid w:val="5CA35B65"/>
    <w:rsid w:val="5CA95D7B"/>
    <w:rsid w:val="5CBA60BF"/>
    <w:rsid w:val="5CCC5289"/>
    <w:rsid w:val="5CD377F3"/>
    <w:rsid w:val="5CDB39B8"/>
    <w:rsid w:val="5CDF32B5"/>
    <w:rsid w:val="5CEA65A2"/>
    <w:rsid w:val="5CFF0A79"/>
    <w:rsid w:val="5D103D4B"/>
    <w:rsid w:val="5D562529"/>
    <w:rsid w:val="5D5C4B9B"/>
    <w:rsid w:val="5D641CA2"/>
    <w:rsid w:val="5D69550A"/>
    <w:rsid w:val="5D730178"/>
    <w:rsid w:val="5DB1138B"/>
    <w:rsid w:val="5DB26EB1"/>
    <w:rsid w:val="5DC866D4"/>
    <w:rsid w:val="5DD72473"/>
    <w:rsid w:val="5DE27796"/>
    <w:rsid w:val="5DE3706A"/>
    <w:rsid w:val="5DEB5F1F"/>
    <w:rsid w:val="5DF43025"/>
    <w:rsid w:val="5DF66D9E"/>
    <w:rsid w:val="5DFA2C90"/>
    <w:rsid w:val="5E086AD1"/>
    <w:rsid w:val="5E1611EE"/>
    <w:rsid w:val="5E5D161C"/>
    <w:rsid w:val="5E7B72A3"/>
    <w:rsid w:val="5E805BF1"/>
    <w:rsid w:val="5E875C48"/>
    <w:rsid w:val="5E8819C0"/>
    <w:rsid w:val="5E993BCD"/>
    <w:rsid w:val="5EAE58CA"/>
    <w:rsid w:val="5EB033F0"/>
    <w:rsid w:val="5EB6477F"/>
    <w:rsid w:val="5EC23124"/>
    <w:rsid w:val="5EC82FEA"/>
    <w:rsid w:val="5EC96260"/>
    <w:rsid w:val="5EDA66BF"/>
    <w:rsid w:val="5EDF45D6"/>
    <w:rsid w:val="5F0E45BB"/>
    <w:rsid w:val="5F117623"/>
    <w:rsid w:val="5F1D47FE"/>
    <w:rsid w:val="5F334021"/>
    <w:rsid w:val="5F3D09FC"/>
    <w:rsid w:val="5F41229A"/>
    <w:rsid w:val="5F473629"/>
    <w:rsid w:val="5F586378"/>
    <w:rsid w:val="5F661D01"/>
    <w:rsid w:val="5F681446"/>
    <w:rsid w:val="5F7E34EF"/>
    <w:rsid w:val="5F842DBA"/>
    <w:rsid w:val="5F954AC0"/>
    <w:rsid w:val="5F990328"/>
    <w:rsid w:val="5FB44474"/>
    <w:rsid w:val="5FB95E5F"/>
    <w:rsid w:val="5FB962D5"/>
    <w:rsid w:val="5FBB1E7A"/>
    <w:rsid w:val="5FCF5AF8"/>
    <w:rsid w:val="5FE315A4"/>
    <w:rsid w:val="5FE80968"/>
    <w:rsid w:val="5FEB66AA"/>
    <w:rsid w:val="600B28A8"/>
    <w:rsid w:val="60310561"/>
    <w:rsid w:val="603242D9"/>
    <w:rsid w:val="60395667"/>
    <w:rsid w:val="60457B68"/>
    <w:rsid w:val="604F09E7"/>
    <w:rsid w:val="6051475F"/>
    <w:rsid w:val="60765F74"/>
    <w:rsid w:val="6088632C"/>
    <w:rsid w:val="60997EB4"/>
    <w:rsid w:val="60AA0313"/>
    <w:rsid w:val="60EE0200"/>
    <w:rsid w:val="60F31B24"/>
    <w:rsid w:val="610A2B60"/>
    <w:rsid w:val="61565DA5"/>
    <w:rsid w:val="6165416F"/>
    <w:rsid w:val="61720E31"/>
    <w:rsid w:val="618F3DEA"/>
    <w:rsid w:val="61A62889"/>
    <w:rsid w:val="61B551C2"/>
    <w:rsid w:val="61C827FF"/>
    <w:rsid w:val="61DC44FC"/>
    <w:rsid w:val="61DE64C6"/>
    <w:rsid w:val="61E82EA1"/>
    <w:rsid w:val="61F34DB9"/>
    <w:rsid w:val="61F531E3"/>
    <w:rsid w:val="61F739FE"/>
    <w:rsid w:val="61F950AE"/>
    <w:rsid w:val="62045801"/>
    <w:rsid w:val="621E6D52"/>
    <w:rsid w:val="622B0FE0"/>
    <w:rsid w:val="624125B1"/>
    <w:rsid w:val="624327CD"/>
    <w:rsid w:val="62650996"/>
    <w:rsid w:val="626C5880"/>
    <w:rsid w:val="629869A1"/>
    <w:rsid w:val="62AD10B2"/>
    <w:rsid w:val="62C456BC"/>
    <w:rsid w:val="62D60F4C"/>
    <w:rsid w:val="63016CD4"/>
    <w:rsid w:val="63170071"/>
    <w:rsid w:val="631C613B"/>
    <w:rsid w:val="63514A76"/>
    <w:rsid w:val="635A392B"/>
    <w:rsid w:val="635F0E1F"/>
    <w:rsid w:val="637443CD"/>
    <w:rsid w:val="6393508F"/>
    <w:rsid w:val="639D5F0D"/>
    <w:rsid w:val="63B35731"/>
    <w:rsid w:val="63BE20DB"/>
    <w:rsid w:val="63C35930"/>
    <w:rsid w:val="63D336DD"/>
    <w:rsid w:val="63EE5208"/>
    <w:rsid w:val="64241F01"/>
    <w:rsid w:val="64462101"/>
    <w:rsid w:val="644A52D4"/>
    <w:rsid w:val="644B5969"/>
    <w:rsid w:val="64526CF8"/>
    <w:rsid w:val="647C0409"/>
    <w:rsid w:val="647E2D29"/>
    <w:rsid w:val="648B3FB8"/>
    <w:rsid w:val="64940E7B"/>
    <w:rsid w:val="64B74DAD"/>
    <w:rsid w:val="64BE01BC"/>
    <w:rsid w:val="64D140C0"/>
    <w:rsid w:val="64D23995"/>
    <w:rsid w:val="64F25DE5"/>
    <w:rsid w:val="64FB2F32"/>
    <w:rsid w:val="650959E3"/>
    <w:rsid w:val="651027B1"/>
    <w:rsid w:val="65242442"/>
    <w:rsid w:val="65362175"/>
    <w:rsid w:val="653D1756"/>
    <w:rsid w:val="65493C57"/>
    <w:rsid w:val="65646CE3"/>
    <w:rsid w:val="65896749"/>
    <w:rsid w:val="65D11E9E"/>
    <w:rsid w:val="65DF0A5F"/>
    <w:rsid w:val="65EB2F60"/>
    <w:rsid w:val="65EE5A4A"/>
    <w:rsid w:val="66351395"/>
    <w:rsid w:val="66372649"/>
    <w:rsid w:val="664408C2"/>
    <w:rsid w:val="664F1741"/>
    <w:rsid w:val="665777F9"/>
    <w:rsid w:val="666B5E4F"/>
    <w:rsid w:val="66703465"/>
    <w:rsid w:val="66770C98"/>
    <w:rsid w:val="66807B4C"/>
    <w:rsid w:val="668B64F1"/>
    <w:rsid w:val="6694184A"/>
    <w:rsid w:val="66952ECC"/>
    <w:rsid w:val="66B45A48"/>
    <w:rsid w:val="66B635AD"/>
    <w:rsid w:val="66B8550E"/>
    <w:rsid w:val="66C832A1"/>
    <w:rsid w:val="671263AB"/>
    <w:rsid w:val="671E7365"/>
    <w:rsid w:val="672E75A8"/>
    <w:rsid w:val="674A628F"/>
    <w:rsid w:val="6751773B"/>
    <w:rsid w:val="675F3C06"/>
    <w:rsid w:val="676E209B"/>
    <w:rsid w:val="67702C31"/>
    <w:rsid w:val="6773320D"/>
    <w:rsid w:val="67786A75"/>
    <w:rsid w:val="67A71109"/>
    <w:rsid w:val="67B6134C"/>
    <w:rsid w:val="67CD5013"/>
    <w:rsid w:val="67E867F8"/>
    <w:rsid w:val="681F6578"/>
    <w:rsid w:val="68230A8D"/>
    <w:rsid w:val="68307350"/>
    <w:rsid w:val="685272C6"/>
    <w:rsid w:val="688A4CB2"/>
    <w:rsid w:val="68A815DC"/>
    <w:rsid w:val="68BA003B"/>
    <w:rsid w:val="68BA4E6C"/>
    <w:rsid w:val="68D71910"/>
    <w:rsid w:val="68DA4848"/>
    <w:rsid w:val="68DC129D"/>
    <w:rsid w:val="68E34F48"/>
    <w:rsid w:val="68EE2E29"/>
    <w:rsid w:val="68F71C1C"/>
    <w:rsid w:val="69012A9A"/>
    <w:rsid w:val="69224EEB"/>
    <w:rsid w:val="693966D8"/>
    <w:rsid w:val="69561038"/>
    <w:rsid w:val="6965127B"/>
    <w:rsid w:val="696E6382"/>
    <w:rsid w:val="69777577"/>
    <w:rsid w:val="69787200"/>
    <w:rsid w:val="697F7D43"/>
    <w:rsid w:val="698462FD"/>
    <w:rsid w:val="698B1F50"/>
    <w:rsid w:val="698C6808"/>
    <w:rsid w:val="69D361E5"/>
    <w:rsid w:val="69EC374B"/>
    <w:rsid w:val="69F525FF"/>
    <w:rsid w:val="69F56945"/>
    <w:rsid w:val="6A0509AF"/>
    <w:rsid w:val="6A10568B"/>
    <w:rsid w:val="6A475D29"/>
    <w:rsid w:val="6A486BD3"/>
    <w:rsid w:val="6A4C4003"/>
    <w:rsid w:val="6A6D6639"/>
    <w:rsid w:val="6A7554EE"/>
    <w:rsid w:val="6A7E546E"/>
    <w:rsid w:val="6A972321"/>
    <w:rsid w:val="6ACD0E86"/>
    <w:rsid w:val="6AE85CC0"/>
    <w:rsid w:val="6AEFD1C2"/>
    <w:rsid w:val="6AF40B09"/>
    <w:rsid w:val="6AF723A7"/>
    <w:rsid w:val="6B3D3768"/>
    <w:rsid w:val="6B4D325B"/>
    <w:rsid w:val="6B564DC0"/>
    <w:rsid w:val="6B58365B"/>
    <w:rsid w:val="6B637A3C"/>
    <w:rsid w:val="6B6712DB"/>
    <w:rsid w:val="6BA047ED"/>
    <w:rsid w:val="6BA46508"/>
    <w:rsid w:val="6BAD2A66"/>
    <w:rsid w:val="6BBD714D"/>
    <w:rsid w:val="6BC009EB"/>
    <w:rsid w:val="6BC8789F"/>
    <w:rsid w:val="6BD91127"/>
    <w:rsid w:val="6C20148A"/>
    <w:rsid w:val="6C215C9F"/>
    <w:rsid w:val="6C272818"/>
    <w:rsid w:val="6C3D64DF"/>
    <w:rsid w:val="6C517895"/>
    <w:rsid w:val="6C64581A"/>
    <w:rsid w:val="6C861C34"/>
    <w:rsid w:val="6C873581"/>
    <w:rsid w:val="6C90296B"/>
    <w:rsid w:val="6CAC07E5"/>
    <w:rsid w:val="6CB30550"/>
    <w:rsid w:val="6CBA368C"/>
    <w:rsid w:val="6CDA184F"/>
    <w:rsid w:val="6CEB7CE9"/>
    <w:rsid w:val="6D022321"/>
    <w:rsid w:val="6D0668D1"/>
    <w:rsid w:val="6D282CEC"/>
    <w:rsid w:val="6D5C2995"/>
    <w:rsid w:val="6D89140C"/>
    <w:rsid w:val="6D935916"/>
    <w:rsid w:val="6D9B34BE"/>
    <w:rsid w:val="6DA06D26"/>
    <w:rsid w:val="6DA57E98"/>
    <w:rsid w:val="6DD24A05"/>
    <w:rsid w:val="6DE43988"/>
    <w:rsid w:val="6DEA1D4F"/>
    <w:rsid w:val="6DEE0E0A"/>
    <w:rsid w:val="6DEF7365"/>
    <w:rsid w:val="6DFB5D0A"/>
    <w:rsid w:val="6E1F7C4B"/>
    <w:rsid w:val="6E1FAAFA"/>
    <w:rsid w:val="6E205C8E"/>
    <w:rsid w:val="6E2A4841"/>
    <w:rsid w:val="6E2D3F7E"/>
    <w:rsid w:val="6E6A2660"/>
    <w:rsid w:val="6EAB2EF7"/>
    <w:rsid w:val="6EAE7221"/>
    <w:rsid w:val="6EC72090"/>
    <w:rsid w:val="6ED36D81"/>
    <w:rsid w:val="6ED8429D"/>
    <w:rsid w:val="6EE0585D"/>
    <w:rsid w:val="6EE449F0"/>
    <w:rsid w:val="6EF74EAA"/>
    <w:rsid w:val="6F0470FD"/>
    <w:rsid w:val="6F1214A9"/>
    <w:rsid w:val="6F297677"/>
    <w:rsid w:val="6F394D3C"/>
    <w:rsid w:val="6F481423"/>
    <w:rsid w:val="6F616041"/>
    <w:rsid w:val="6F800BBD"/>
    <w:rsid w:val="6F9B59F7"/>
    <w:rsid w:val="6FB410EE"/>
    <w:rsid w:val="6FB62831"/>
    <w:rsid w:val="6FC24065"/>
    <w:rsid w:val="6FE80510"/>
    <w:rsid w:val="70082960"/>
    <w:rsid w:val="702B3438"/>
    <w:rsid w:val="702C48A1"/>
    <w:rsid w:val="70336E04"/>
    <w:rsid w:val="703D085C"/>
    <w:rsid w:val="7040034C"/>
    <w:rsid w:val="70495453"/>
    <w:rsid w:val="705D0EFE"/>
    <w:rsid w:val="706C0AA4"/>
    <w:rsid w:val="70763D6E"/>
    <w:rsid w:val="708B5A6B"/>
    <w:rsid w:val="70A24B63"/>
    <w:rsid w:val="70B054D2"/>
    <w:rsid w:val="70B455A8"/>
    <w:rsid w:val="70F56BB8"/>
    <w:rsid w:val="70FC0717"/>
    <w:rsid w:val="710547C7"/>
    <w:rsid w:val="71215755"/>
    <w:rsid w:val="71324139"/>
    <w:rsid w:val="715776FB"/>
    <w:rsid w:val="715B082B"/>
    <w:rsid w:val="716907C5"/>
    <w:rsid w:val="71A05546"/>
    <w:rsid w:val="71BB412E"/>
    <w:rsid w:val="71BC3A02"/>
    <w:rsid w:val="71C1797A"/>
    <w:rsid w:val="71DB032D"/>
    <w:rsid w:val="71E73175"/>
    <w:rsid w:val="71E847F7"/>
    <w:rsid w:val="724E4FA2"/>
    <w:rsid w:val="726227FC"/>
    <w:rsid w:val="728F1BF4"/>
    <w:rsid w:val="72962054"/>
    <w:rsid w:val="72A5093A"/>
    <w:rsid w:val="72CB65F3"/>
    <w:rsid w:val="72D54D7C"/>
    <w:rsid w:val="72D80D10"/>
    <w:rsid w:val="72DB610A"/>
    <w:rsid w:val="72E67F8D"/>
    <w:rsid w:val="7302232E"/>
    <w:rsid w:val="730579C3"/>
    <w:rsid w:val="7311772D"/>
    <w:rsid w:val="731735E6"/>
    <w:rsid w:val="73217FC1"/>
    <w:rsid w:val="7326369D"/>
    <w:rsid w:val="732F2FE7"/>
    <w:rsid w:val="7349576A"/>
    <w:rsid w:val="735A0201"/>
    <w:rsid w:val="735A34D3"/>
    <w:rsid w:val="7360194A"/>
    <w:rsid w:val="73644352"/>
    <w:rsid w:val="736B1B84"/>
    <w:rsid w:val="73880040"/>
    <w:rsid w:val="738D1AFA"/>
    <w:rsid w:val="739015EB"/>
    <w:rsid w:val="73903399"/>
    <w:rsid w:val="73970283"/>
    <w:rsid w:val="73A6496A"/>
    <w:rsid w:val="73A90958"/>
    <w:rsid w:val="73AB3D2F"/>
    <w:rsid w:val="73AF7CC3"/>
    <w:rsid w:val="73BB6668"/>
    <w:rsid w:val="73BF77DA"/>
    <w:rsid w:val="73D47729"/>
    <w:rsid w:val="74081181"/>
    <w:rsid w:val="74143FCA"/>
    <w:rsid w:val="741F0125"/>
    <w:rsid w:val="74341F76"/>
    <w:rsid w:val="744361CC"/>
    <w:rsid w:val="74583EB6"/>
    <w:rsid w:val="745B4FD0"/>
    <w:rsid w:val="746045F4"/>
    <w:rsid w:val="74786307"/>
    <w:rsid w:val="74795BDB"/>
    <w:rsid w:val="747A0724"/>
    <w:rsid w:val="74842EFD"/>
    <w:rsid w:val="74850A24"/>
    <w:rsid w:val="749A44CF"/>
    <w:rsid w:val="74CA4688"/>
    <w:rsid w:val="74D80B53"/>
    <w:rsid w:val="75047B9A"/>
    <w:rsid w:val="750C4CA1"/>
    <w:rsid w:val="75181898"/>
    <w:rsid w:val="75383CE8"/>
    <w:rsid w:val="753A04DC"/>
    <w:rsid w:val="754461E9"/>
    <w:rsid w:val="75695030"/>
    <w:rsid w:val="756A0CF5"/>
    <w:rsid w:val="756A19BC"/>
    <w:rsid w:val="756D573F"/>
    <w:rsid w:val="756F67BD"/>
    <w:rsid w:val="757A7E5C"/>
    <w:rsid w:val="75E35A02"/>
    <w:rsid w:val="75EA007E"/>
    <w:rsid w:val="75F96FD3"/>
    <w:rsid w:val="760360A4"/>
    <w:rsid w:val="7610256F"/>
    <w:rsid w:val="76165DD7"/>
    <w:rsid w:val="761958C7"/>
    <w:rsid w:val="7625601A"/>
    <w:rsid w:val="76A5715B"/>
    <w:rsid w:val="76B949B4"/>
    <w:rsid w:val="76C577FD"/>
    <w:rsid w:val="76FD6F97"/>
    <w:rsid w:val="7706409E"/>
    <w:rsid w:val="771542E1"/>
    <w:rsid w:val="771A5453"/>
    <w:rsid w:val="771D4F43"/>
    <w:rsid w:val="771F1A59"/>
    <w:rsid w:val="775766A7"/>
    <w:rsid w:val="778356EE"/>
    <w:rsid w:val="7789684F"/>
    <w:rsid w:val="779526D8"/>
    <w:rsid w:val="779C40BA"/>
    <w:rsid w:val="77B70EF4"/>
    <w:rsid w:val="77C04DF9"/>
    <w:rsid w:val="77CB6621"/>
    <w:rsid w:val="77E04490"/>
    <w:rsid w:val="77F71266"/>
    <w:rsid w:val="78056103"/>
    <w:rsid w:val="780D0D0F"/>
    <w:rsid w:val="780D320A"/>
    <w:rsid w:val="78105568"/>
    <w:rsid w:val="78153E6C"/>
    <w:rsid w:val="782E0B97"/>
    <w:rsid w:val="7840713B"/>
    <w:rsid w:val="784617F6"/>
    <w:rsid w:val="78503149"/>
    <w:rsid w:val="785902C5"/>
    <w:rsid w:val="788A1591"/>
    <w:rsid w:val="789227C4"/>
    <w:rsid w:val="789631FF"/>
    <w:rsid w:val="789B6A68"/>
    <w:rsid w:val="78BE1FA4"/>
    <w:rsid w:val="78DFB903"/>
    <w:rsid w:val="78EF0B61"/>
    <w:rsid w:val="790F6B0E"/>
    <w:rsid w:val="79231E78"/>
    <w:rsid w:val="79507852"/>
    <w:rsid w:val="796055BB"/>
    <w:rsid w:val="79733540"/>
    <w:rsid w:val="79CE4C1B"/>
    <w:rsid w:val="79D00993"/>
    <w:rsid w:val="79D044EF"/>
    <w:rsid w:val="79ED6E4F"/>
    <w:rsid w:val="79FE72AE"/>
    <w:rsid w:val="7A330F66"/>
    <w:rsid w:val="7A562609"/>
    <w:rsid w:val="7A792DD8"/>
    <w:rsid w:val="7AAF2356"/>
    <w:rsid w:val="7AC202DC"/>
    <w:rsid w:val="7AC34054"/>
    <w:rsid w:val="7AC51B7A"/>
    <w:rsid w:val="7AE7F234"/>
    <w:rsid w:val="7AEF6BF7"/>
    <w:rsid w:val="7AF465F8"/>
    <w:rsid w:val="7AFE9188"/>
    <w:rsid w:val="7B1623D5"/>
    <w:rsid w:val="7B1D19B6"/>
    <w:rsid w:val="7B4C4049"/>
    <w:rsid w:val="7B56174D"/>
    <w:rsid w:val="7B5D6256"/>
    <w:rsid w:val="7B8026CF"/>
    <w:rsid w:val="7B8657AD"/>
    <w:rsid w:val="7B8732D3"/>
    <w:rsid w:val="7B8C25DF"/>
    <w:rsid w:val="7B9854E0"/>
    <w:rsid w:val="7BA2010D"/>
    <w:rsid w:val="7BAC4AE8"/>
    <w:rsid w:val="7BAD7258"/>
    <w:rsid w:val="7BBF3F84"/>
    <w:rsid w:val="7BC65066"/>
    <w:rsid w:val="7BDA3403"/>
    <w:rsid w:val="7BE75B20"/>
    <w:rsid w:val="7BED426A"/>
    <w:rsid w:val="7BF2699E"/>
    <w:rsid w:val="7C0A3959"/>
    <w:rsid w:val="7C0E12FE"/>
    <w:rsid w:val="7C2F00A9"/>
    <w:rsid w:val="7C36400D"/>
    <w:rsid w:val="7C4F3DF1"/>
    <w:rsid w:val="7C887303"/>
    <w:rsid w:val="7CB225D2"/>
    <w:rsid w:val="7CCC3693"/>
    <w:rsid w:val="7D126BCC"/>
    <w:rsid w:val="7D142945"/>
    <w:rsid w:val="7D1D3EEF"/>
    <w:rsid w:val="7D252DA4"/>
    <w:rsid w:val="7D2D5128"/>
    <w:rsid w:val="7D344D95"/>
    <w:rsid w:val="7D3F20B7"/>
    <w:rsid w:val="7D570460"/>
    <w:rsid w:val="7D592A4D"/>
    <w:rsid w:val="7D5947FB"/>
    <w:rsid w:val="7D676CA0"/>
    <w:rsid w:val="7D6E2861"/>
    <w:rsid w:val="7D7927B6"/>
    <w:rsid w:val="7D7B0C16"/>
    <w:rsid w:val="7D7E4262"/>
    <w:rsid w:val="7D8A2C07"/>
    <w:rsid w:val="7D8C70DE"/>
    <w:rsid w:val="7DB55ED6"/>
    <w:rsid w:val="7DBA173E"/>
    <w:rsid w:val="7DC73E5B"/>
    <w:rsid w:val="7DC9372F"/>
    <w:rsid w:val="7DDB16B4"/>
    <w:rsid w:val="7DDE309B"/>
    <w:rsid w:val="7DDF73F6"/>
    <w:rsid w:val="7DE762AB"/>
    <w:rsid w:val="7DE844FD"/>
    <w:rsid w:val="7DEE73DE"/>
    <w:rsid w:val="7DF27FD8"/>
    <w:rsid w:val="7DF369FE"/>
    <w:rsid w:val="7E1075B0"/>
    <w:rsid w:val="7E180F77"/>
    <w:rsid w:val="7E2117BD"/>
    <w:rsid w:val="7E2C33B5"/>
    <w:rsid w:val="7E553215"/>
    <w:rsid w:val="7E6A3164"/>
    <w:rsid w:val="7E6B6157"/>
    <w:rsid w:val="7E7044F2"/>
    <w:rsid w:val="7E8E6727"/>
    <w:rsid w:val="7E9712AE"/>
    <w:rsid w:val="7EA47CF8"/>
    <w:rsid w:val="7EB517AA"/>
    <w:rsid w:val="7EB55151"/>
    <w:rsid w:val="7EEB6D53"/>
    <w:rsid w:val="7EFB1577"/>
    <w:rsid w:val="7EFBA718"/>
    <w:rsid w:val="7F1B3CC3"/>
    <w:rsid w:val="7F231565"/>
    <w:rsid w:val="7F554924"/>
    <w:rsid w:val="7F755548"/>
    <w:rsid w:val="7F842003"/>
    <w:rsid w:val="7F870369"/>
    <w:rsid w:val="7F871AF4"/>
    <w:rsid w:val="7FAA0C38"/>
    <w:rsid w:val="7FC27C35"/>
    <w:rsid w:val="7FCEFC64"/>
    <w:rsid w:val="7FD36AE7"/>
    <w:rsid w:val="7FDD5BB8"/>
    <w:rsid w:val="7FDD7395"/>
    <w:rsid w:val="7FDF9448"/>
    <w:rsid w:val="7FEF12F0"/>
    <w:rsid w:val="7FFAA203"/>
    <w:rsid w:val="7FFFC296"/>
    <w:rsid w:val="8D7DDFC3"/>
    <w:rsid w:val="8FFFBD24"/>
    <w:rsid w:val="99DFB42B"/>
    <w:rsid w:val="A56783AC"/>
    <w:rsid w:val="BDDE8B03"/>
    <w:rsid w:val="BF51FB45"/>
    <w:rsid w:val="BFEB4A34"/>
    <w:rsid w:val="CDFFF1B9"/>
    <w:rsid w:val="D5B7F1D7"/>
    <w:rsid w:val="D7A2AFFC"/>
    <w:rsid w:val="DDC798C9"/>
    <w:rsid w:val="DDEF345D"/>
    <w:rsid w:val="DFDD7FD6"/>
    <w:rsid w:val="EF7BB746"/>
    <w:rsid w:val="EFFD2660"/>
    <w:rsid w:val="F2E7E4A7"/>
    <w:rsid w:val="F2EF0E4D"/>
    <w:rsid w:val="F3738157"/>
    <w:rsid w:val="F6F33291"/>
    <w:rsid w:val="F7D43504"/>
    <w:rsid w:val="F7FF8BDB"/>
    <w:rsid w:val="F9FFDC4D"/>
    <w:rsid w:val="FB3F3452"/>
    <w:rsid w:val="FB699428"/>
    <w:rsid w:val="FBFF876B"/>
    <w:rsid w:val="FF6B72A5"/>
    <w:rsid w:val="FFFB7108"/>
    <w:rsid w:val="FFFD3383"/>
    <w:rsid w:val="FFFE0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qFormat="1" w:unhideWhenUsed="0" w:uiPriority="0" w:semiHidden="0" w:name="toc 2"/>
    <w:lsdException w:qFormat="1" w:uiPriority="3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jc w:val="both"/>
    </w:pPr>
    <w:rPr>
      <w:rFonts w:ascii="宋体" w:hAnsi="Times New Roman" w:eastAsia="宋体" w:cs="Times New Roman"/>
      <w:kern w:val="2"/>
      <w:sz w:val="28"/>
      <w:szCs w:val="28"/>
      <w:lang w:val="en-US" w:eastAsia="zh-CN" w:bidi="ar-SA"/>
    </w:rPr>
  </w:style>
  <w:style w:type="paragraph" w:styleId="3">
    <w:name w:val="heading 2"/>
    <w:basedOn w:val="1"/>
    <w:next w:val="1"/>
    <w:autoRedefine/>
    <w:unhideWhenUsed/>
    <w:qFormat/>
    <w:uiPriority w:val="0"/>
    <w:pPr>
      <w:keepNext/>
      <w:keepLines/>
      <w:numPr>
        <w:ilvl w:val="1"/>
        <w:numId w:val="1"/>
      </w:numPr>
      <w:spacing w:before="260" w:after="260" w:line="416" w:lineRule="auto"/>
      <w:outlineLvl w:val="1"/>
    </w:pPr>
    <w:rPr>
      <w:rFonts w:ascii="Cambria" w:hAnsi="Cambria"/>
      <w:b/>
      <w:bCs/>
      <w:sz w:val="32"/>
      <w:szCs w:val="32"/>
    </w:rPr>
  </w:style>
  <w:style w:type="paragraph" w:styleId="4">
    <w:name w:val="heading 3"/>
    <w:basedOn w:val="1"/>
    <w:next w:val="1"/>
    <w:autoRedefine/>
    <w:qFormat/>
    <w:uiPriority w:val="0"/>
    <w:pPr>
      <w:keepNext/>
      <w:keepLines/>
      <w:spacing w:before="260" w:after="260" w:line="416" w:lineRule="auto"/>
      <w:jc w:val="center"/>
      <w:outlineLvl w:val="2"/>
    </w:pPr>
    <w:rPr>
      <w:b/>
      <w:bCs/>
      <w:sz w:val="32"/>
      <w:szCs w:val="32"/>
      <w:lang w:val="zh-CN"/>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5">
    <w:name w:val="Normal Indent"/>
    <w:basedOn w:val="1"/>
    <w:autoRedefine/>
    <w:unhideWhenUsed/>
    <w:qFormat/>
    <w:uiPriority w:val="0"/>
    <w:pPr>
      <w:ind w:firstLine="420" w:firstLineChars="200"/>
    </w:pPr>
  </w:style>
  <w:style w:type="paragraph" w:styleId="6">
    <w:name w:val="annotation text"/>
    <w:basedOn w:val="1"/>
    <w:qFormat/>
    <w:uiPriority w:val="0"/>
    <w:pPr>
      <w:jc w:val="left"/>
    </w:pPr>
  </w:style>
  <w:style w:type="paragraph" w:styleId="7">
    <w:name w:val="toc 3"/>
    <w:basedOn w:val="1"/>
    <w:next w:val="1"/>
    <w:semiHidden/>
    <w:unhideWhenUsed/>
    <w:qFormat/>
    <w:uiPriority w:val="39"/>
    <w:pPr>
      <w:ind w:left="840" w:leftChars="400"/>
    </w:pPr>
  </w:style>
  <w:style w:type="paragraph" w:styleId="8">
    <w:name w:val="Plain Text"/>
    <w:basedOn w:val="1"/>
    <w:next w:val="2"/>
    <w:autoRedefine/>
    <w:qFormat/>
    <w:uiPriority w:val="0"/>
    <w:pPr>
      <w:spacing w:line="240" w:lineRule="auto"/>
    </w:pPr>
    <w:rPr>
      <w:rFonts w:hAnsi="Courier New" w:cs="Courier New"/>
      <w:szCs w:val="21"/>
    </w:rPr>
  </w:style>
  <w:style w:type="paragraph" w:styleId="9">
    <w:name w:val="footer"/>
    <w:basedOn w:val="1"/>
    <w:autoRedefine/>
    <w:qFormat/>
    <w:uiPriority w:val="99"/>
    <w:pPr>
      <w:tabs>
        <w:tab w:val="center" w:pos="4153"/>
        <w:tab w:val="right" w:pos="8306"/>
      </w:tabs>
      <w:snapToGrid w:val="0"/>
      <w:spacing w:line="240" w:lineRule="auto"/>
      <w:jc w:val="left"/>
    </w:pPr>
    <w:rPr>
      <w:sz w:val="18"/>
      <w:szCs w:val="18"/>
    </w:rPr>
  </w:style>
  <w:style w:type="paragraph" w:styleId="10">
    <w:name w:val="header"/>
    <w:basedOn w:val="1"/>
    <w:autoRedefine/>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1">
    <w:name w:val="toc 1"/>
    <w:basedOn w:val="1"/>
    <w:next w:val="1"/>
    <w:semiHidden/>
    <w:unhideWhenUsed/>
    <w:qFormat/>
    <w:uiPriority w:val="39"/>
  </w:style>
  <w:style w:type="paragraph" w:styleId="12">
    <w:name w:val="toc 2"/>
    <w:basedOn w:val="1"/>
    <w:next w:val="1"/>
    <w:qFormat/>
    <w:uiPriority w:val="0"/>
    <w:pPr>
      <w:ind w:left="420" w:leftChars="200"/>
    </w:pPr>
  </w:style>
  <w:style w:type="paragraph" w:styleId="13">
    <w:name w:val="Normal (Web)"/>
    <w:basedOn w:val="1"/>
    <w:autoRedefine/>
    <w:qFormat/>
    <w:uiPriority w:val="99"/>
    <w:pPr>
      <w:widowControl/>
      <w:spacing w:before="90" w:after="90"/>
      <w:jc w:val="left"/>
    </w:pPr>
    <w:rPr>
      <w:rFonts w:ascii="Verdana" w:hAnsi="Verdana"/>
      <w:kern w:val="0"/>
      <w:szCs w:val="20"/>
    </w:rPr>
  </w:style>
  <w:style w:type="paragraph" w:styleId="14">
    <w:name w:val="Body Text First Indent 2"/>
    <w:next w:val="1"/>
    <w:unhideWhenUsed/>
    <w:qFormat/>
    <w:uiPriority w:val="0"/>
    <w:pPr>
      <w:widowControl w:val="0"/>
      <w:spacing w:after="120"/>
      <w:ind w:left="420" w:leftChars="200" w:firstLine="420" w:firstLineChars="200"/>
      <w:jc w:val="both"/>
    </w:pPr>
    <w:rPr>
      <w:rFonts w:ascii="Times New Roman" w:hAnsi="Times New Roman" w:eastAsia="宋体" w:cs="Times New Roman"/>
      <w:kern w:val="0"/>
      <w:sz w:val="20"/>
      <w:szCs w:val="20"/>
      <w:lang w:val="en-US" w:eastAsia="zh-CN" w:bidi="ar-SA"/>
    </w:rPr>
  </w:style>
  <w:style w:type="table" w:styleId="16">
    <w:name w:val="Table Grid"/>
    <w:basedOn w:val="15"/>
    <w:autoRedefine/>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8">
    <w:name w:val="Strong"/>
    <w:autoRedefine/>
    <w:qFormat/>
    <w:uiPriority w:val="0"/>
    <w:rPr>
      <w:b/>
      <w:bCs/>
    </w:rPr>
  </w:style>
  <w:style w:type="paragraph" w:customStyle="1" w:styleId="19">
    <w:name w:val="Default"/>
    <w:autoRedefine/>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0">
    <w:name w:val="List Paragraph"/>
    <w:basedOn w:val="1"/>
    <w:autoRedefine/>
    <w:qFormat/>
    <w:uiPriority w:val="34"/>
    <w:pPr>
      <w:ind w:firstLine="420" w:firstLineChars="200"/>
    </w:pPr>
  </w:style>
  <w:style w:type="paragraph" w:customStyle="1" w:styleId="21">
    <w:name w:val="Revision"/>
    <w:autoRedefine/>
    <w:hidden/>
    <w:unhideWhenUsed/>
    <w:qFormat/>
    <w:uiPriority w:val="99"/>
    <w:rPr>
      <w:rFonts w:ascii="宋体" w:hAnsi="Times New Roman" w:eastAsia="宋体" w:cs="Times New Roman"/>
      <w:kern w:val="2"/>
      <w:sz w:val="28"/>
      <w:szCs w:val="28"/>
      <w:lang w:val="en-US" w:eastAsia="zh-CN" w:bidi="ar-SA"/>
    </w:rPr>
  </w:style>
  <w:style w:type="paragraph" w:customStyle="1" w:styleId="22">
    <w:name w:val="大连银行无格式"/>
    <w:basedOn w:val="23"/>
    <w:autoRedefine/>
    <w:qFormat/>
    <w:uiPriority w:val="0"/>
    <w:pPr>
      <w:widowControl/>
      <w:spacing w:line="360" w:lineRule="auto"/>
      <w:jc w:val="left"/>
    </w:pPr>
    <w:rPr>
      <w:rFonts w:ascii="黑体" w:hAnsi="Times New Roman" w:eastAsia="黑体" w:cs="Times New Roman"/>
      <w:kern w:val="0"/>
      <w:sz w:val="24"/>
      <w:szCs w:val="32"/>
      <w:lang w:val="zh-CN" w:eastAsia="en-US" w:bidi="en-US"/>
    </w:rPr>
  </w:style>
  <w:style w:type="paragraph" w:styleId="23">
    <w:name w:val="No Spacing"/>
    <w:autoRedefine/>
    <w:qFormat/>
    <w:uiPriority w:val="1"/>
    <w:pPr>
      <w:widowControl w:val="0"/>
      <w:jc w:val="both"/>
    </w:pPr>
    <w:rPr>
      <w:rFonts w:asciiTheme="minorHAnsi" w:hAnsiTheme="minorHAnsi" w:eastAsiaTheme="minorEastAsia" w:cstheme="minorBidi"/>
      <w:kern w:val="2"/>
      <w:sz w:val="21"/>
      <w:szCs w:val="22"/>
      <w:lang w:val="en-US" w:eastAsia="zh-CN" w:bidi="ar-SA"/>
    </w:rPr>
  </w:style>
  <w:style w:type="table" w:customStyle="1" w:styleId="24">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45826863-ad61-44f6-864d-abeed093c5ee</errorID>
      <errorWord>需</errorWord>
      <group>L1_Word</group>
      <groupName>字词问题</groupName>
      <ability>L2_Typo</ability>
      <abilityName>字词错误</abilityName>
      <candidateList>
        <item>须</item>
      </candidateList>
      <explain>存在发音相同字词的误用。</explain>
      <paraID>2021A79E</paraID>
      <start>5</start>
      <end>6</end>
      <status>ignored</status>
      <modifiedWord/>
      <trackRevisions>false</trackRevisions>
    </reviewItem>
    <reviewItem>
      <errorID>5f2f8437-d385-4682-9cf5-27171515e2af</errorID>
      <errorWord>WiFi</errorWord>
      <group>L1_Punc</group>
      <groupName>标点问题</groupName>
      <ability>L2_Punc_CN</ability>
      <abilityName>标点符号问题</abilityName>
      <candidateList>
        <item>Wi-Fi</item>
      </candidateList>
      <explain/>
      <paraID>4847302B</paraID>
      <start>61</start>
      <end>65</end>
      <status>ignored</status>
      <modifiedWord/>
      <trackRevisions>false</trackRevisions>
    </reviewItem>
    <reviewItem>
      <errorID>5c0554d2-ee25-4be0-97b3-43419b12247b</errorID>
      <errorWord>WiFi</errorWord>
      <group>L1_Punc</group>
      <groupName>标点问题</groupName>
      <ability>L2_Punc_CN</ability>
      <abilityName>标点符号问题</abilityName>
      <candidateList>
        <item>Wi-Fi</item>
      </candidateList>
      <explain/>
      <paraID> 519C1DD</paraID>
      <start>35</start>
      <end>39</end>
      <status>ignored</status>
      <modifiedWord/>
      <trackRevisions>false</trackRevisions>
    </reviewItem>
    <reviewItem>
      <errorID>01379dd2-3b43-4e3b-8b0a-b76bb9fbe321</errorID>
      <errorWord>（</errorWord>
      <group>L1_Punc</group>
      <groupName>标点问题</groupName>
      <ability>L2_Punc_CN</ability>
      <abilityName>标点符号问题</abilityName>
      <candidateList/>
      <explain>同一形式括号套用。</explain>
      <paraID>171FF3E0</paraID>
      <start>45</start>
      <end>46</end>
      <status>ignored</status>
      <modifiedWord/>
      <trackRevisions>false</trackRevisions>
    </reviewItem>
    <reviewItem>
      <errorID>403f9850-3e35-4d3f-a40b-3158c373e2c4</errorID>
      <errorWord>）</errorWord>
      <group>L1_Punc</group>
      <groupName>标点问题</groupName>
      <ability>L2_Punc_CN</ability>
      <abilityName>标点符号问题</abilityName>
      <candidateList/>
      <explain>同一形式括号套用。</explain>
      <paraID>171FF3E0</paraID>
      <start>48</start>
      <end>49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4073f3-c0e8-42d2-846a-b359e3019e8c}">
  <ds:schemaRefs/>
</ds:datastoreItem>
</file>

<file path=docProps/app.xml><?xml version="1.0" encoding="utf-8"?>
<Properties xmlns="http://schemas.openxmlformats.org/officeDocument/2006/extended-properties" xmlns:vt="http://schemas.openxmlformats.org/officeDocument/2006/docPropsVTypes">
  <Template>Normal</Template>
  <Pages>30</Pages>
  <Words>4665</Words>
  <Characters>5016</Characters>
  <Lines>274</Lines>
  <Paragraphs>295</Paragraphs>
  <TotalTime>10</TotalTime>
  <ScaleCrop>false</ScaleCrop>
  <LinksUpToDate>false</LinksUpToDate>
  <CharactersWithSpaces>5164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2025-06-14T05:13:00Z</dcterms:created>
  <dc:creator>董柳岑</dc:creator>
  <cp:lastModifiedBy>马海亮</cp:lastModifiedBy>
  <dcterms:modified xsi:type="dcterms:W3CDTF">2026-09-18T09:38:49Z</dcterms:modified>
  <cp:revision>13</cp:revision>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KSOProductBuildVer">
    <vt:lpwstr>2052-12.1.0.28043</vt:lpwstr>
  </op:property>
  <op:property fmtid="{D5CDD505-2E9C-101B-9397-08002B2CF9AE}" pid="3" name="ICV">
    <vt:lpwstr>389FDD19451A48BA93A8E4614E95F40C_13</vt:lpwstr>
  </op:property>
  <op:property fmtid="{D5CDD505-2E9C-101B-9397-08002B2CF9AE}" pid="4" name="KSOTemplateDocerSaveRecord">
    <vt:lpwstr>eyJoZGlkIjoiZTY2MTUxMDZmZWVhODM4OWNlOGJmMzQxZmFlMzlkYmQiLCJ1c2VySWQiOiIxNzMyNzUxMTkyIn0=</vt:lpwstr>
  </op:property>
  <op:property fmtid="{D5CDD505-2E9C-101B-9397-08002B2CF9AE}" pid="5" name="_IPGFID">
    <vt:lpwstr>[DocID]=D5194B74-C5FE-440B-A605-20DF9D9849B0</vt:lpwstr>
  </op:property>
  <op:property fmtid="{D5CDD505-2E9C-101B-9397-08002B2CF9AE}" pid="6" name="_IPGFLOW_P-F5F0_E-1_FP-1_SP-1_CV-12E034BA_CN-47F1D7FD">
    <vt:lpwstr>oeSSR7W8HnapxLMgbloIsbvI1LE2rtuk5nuoA1+mNac8G/k8NA03vQiXpPdVkxSZ8+g8G8k45PMDBQV0S5YQLlPYczkiopyipkpEuVtZbqSjA+WSDj7qjgFpend6ElDekO4Esc0fS3DGSb9c2xqlBnu/FDtK3+74zs9aKwfC3jES8rwqVwqZZX9bBl+Up8OypdP6eBAo8HOT0ycWQX409EFhKX0AP1LjUkoycuREKxnwl56R3OtVpA8I7/bziK5</vt:lpwstr>
  </op:property>
  <op:property fmtid="{D5CDD505-2E9C-101B-9397-08002B2CF9AE}" pid="7" name="_IPGFLOW_P-F5F0_E-1_FP-1_SP-2_CV-F3B61B38_CN-8D14B050">
    <vt:lpwstr>4</vt:lpwstr>
  </op:property>
  <op:property fmtid="{D5CDD505-2E9C-101B-9397-08002B2CF9AE}" pid="8" name="_IPGFLOW_P-F5F0_E-0_FP-1_CV-7761BE89_CN-AE312175">
    <vt:lpwstr>DPSPMK|3|256|2|0</vt:lpwstr>
  </op:property>
  <op:property fmtid="{D5CDD505-2E9C-101B-9397-08002B2CF9AE}" pid="9" name="_IPGFLOW_P-F5F0_E-0_CV-8A14B2B5_CN-76F3ABE1">
    <vt:lpwstr>DPFPMK|3|50|2|0</vt:lpwstr>
  </op:property>
  <op:property fmtid="{D5CDD505-2E9C-101B-9397-08002B2CF9AE}" pid="10" name="_IPGFLOW_P-F5F0_E-1_FP-2_SP-1_CV-1CDA27C6_CN-8506C738">
    <vt:lpwstr>oeSSR7W8HnapxLMgbloIsegRwRjh/1fds1yim+KvNmgylTtEwY/5gEs8wmjFlrwINCPb2ZgKM8Yk41987L8J9k0hNveBJTmuLD2t9KmHKCCWHrxM6TbB3oNZQ98iCs5du+UkEW1d656ko/2jcEij4wu17EiVx04USrpFERAgaHOCvVa+SBpAyRZOGOaQzSCi+YY7FJnWbsP0aqVyq6GxxYY+IVJOuDuzhycWSaKktLJMDaBDfWFrVHxLDVng5V3</vt:lpwstr>
  </op:property>
  <op:property fmtid="{D5CDD505-2E9C-101B-9397-08002B2CF9AE}" pid="11" name="_IPGFLOW_P-F5F0_E-1_FP-2_SP-2_CV-82079EB1_CN-8CB6AE27">
    <vt:lpwstr>p</vt:lpwstr>
  </op:property>
  <op:property fmtid="{D5CDD505-2E9C-101B-9397-08002B2CF9AE}" pid="12" name="_IPGFLOW_P-F5F0_E-0_FP-2_CV-7761BE89_CN-13FB4DBB">
    <vt:lpwstr>DPSPMK|3|256|2|0</vt:lpwstr>
  </op:property>
  <op:property fmtid="{D5CDD505-2E9C-101B-9397-08002B2CF9AE}" pid="13" name="_IPGLAB_P-F5F0_E-1_CV-25A0E6F7_CN-8805B97">
    <vt:lpwstr>kIED0db3DJjAEZFwFv3SfNrk4d8lUsTO88SvGD3sUIk6vO04sbrWOf94yg1s1g5aNK59FlrJCJsrW7CiyvWHZDO3+BgEoD73Mky/y4j05oo=</vt:lpwstr>
  </op:property>
</op:Properties>
</file>