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FB5BA">
      <w:pPr>
        <w:jc w:val="center"/>
        <w:rPr>
          <w:rFonts w:hint="eastAsia" w:ascii="宋体" w:hAnsi="宋体" w:eastAsia="宋体" w:cs="宋体"/>
          <w:color w:val="auto"/>
          <w:sz w:val="22"/>
          <w:szCs w:val="24"/>
          <w:highlight w:val="none"/>
        </w:rPr>
      </w:pPr>
      <w:bookmarkStart w:id="98" w:name="_GoBack"/>
    </w:p>
    <w:p w14:paraId="31726B8D">
      <w:pPr>
        <w:jc w:val="center"/>
        <w:rPr>
          <w:rFonts w:hint="eastAsia"/>
          <w:color w:val="auto"/>
          <w:highlight w:val="none"/>
          <w:lang w:val="en-US" w:eastAsia="zh-CN"/>
        </w:rPr>
      </w:pPr>
      <w:r>
        <w:rPr>
          <w:rFonts w:hint="eastAsia" w:ascii="宋体" w:hAnsi="宋体" w:eastAsia="宋体" w:cs="宋体"/>
          <w:color w:val="auto"/>
          <w:sz w:val="22"/>
          <w:szCs w:val="24"/>
          <w:highlight w:val="none"/>
        </w:rPr>
        <w:drawing>
          <wp:inline distT="0" distB="0" distL="0" distR="0">
            <wp:extent cx="3571875" cy="923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14:paraId="5B362D85">
      <w:pPr>
        <w:rPr>
          <w:rFonts w:hint="eastAsia"/>
          <w:color w:val="auto"/>
          <w:highlight w:val="none"/>
          <w:lang w:val="en-US" w:eastAsia="zh-CN"/>
        </w:rPr>
      </w:pPr>
    </w:p>
    <w:p w14:paraId="434C179B">
      <w:pPr>
        <w:rPr>
          <w:rFonts w:hint="eastAsia"/>
          <w:color w:val="auto"/>
          <w:highlight w:val="none"/>
          <w:lang w:val="en-US" w:eastAsia="zh-CN"/>
        </w:rPr>
      </w:pPr>
    </w:p>
    <w:p w14:paraId="6BF02BD4">
      <w:pPr>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安徽新安银行零信任设备采购项目</w:t>
      </w:r>
    </w:p>
    <w:p w14:paraId="3F48B98F">
      <w:pPr>
        <w:rPr>
          <w:rFonts w:hint="eastAsia"/>
          <w:color w:val="auto"/>
          <w:highlight w:val="none"/>
          <w:lang w:val="en-US" w:eastAsia="zh-CN"/>
        </w:rPr>
      </w:pPr>
    </w:p>
    <w:p w14:paraId="0DD04A40">
      <w:pPr>
        <w:rPr>
          <w:rFonts w:hint="eastAsia"/>
          <w:color w:val="auto"/>
          <w:highlight w:val="none"/>
          <w:lang w:val="en-US" w:eastAsia="zh-CN"/>
        </w:rPr>
      </w:pPr>
    </w:p>
    <w:p w14:paraId="588C5E86">
      <w:pPr>
        <w:rPr>
          <w:rFonts w:hint="eastAsia"/>
          <w:color w:val="auto"/>
          <w:highlight w:val="none"/>
          <w:lang w:val="en-US" w:eastAsia="zh-CN"/>
        </w:rPr>
      </w:pPr>
    </w:p>
    <w:p w14:paraId="5ED75097">
      <w:pPr>
        <w:rPr>
          <w:rFonts w:hint="eastAsia"/>
          <w:color w:val="auto"/>
          <w:highlight w:val="none"/>
          <w:lang w:val="en-US" w:eastAsia="zh-CN"/>
        </w:rPr>
      </w:pPr>
    </w:p>
    <w:p w14:paraId="200A71A7">
      <w:pPr>
        <w:jc w:val="center"/>
        <w:rPr>
          <w:rFonts w:hint="eastAsia"/>
          <w:b/>
          <w:bCs/>
          <w:color w:val="auto"/>
          <w:sz w:val="36"/>
          <w:szCs w:val="36"/>
          <w:highlight w:val="none"/>
          <w:lang w:val="en-US" w:eastAsia="zh-CN"/>
        </w:rPr>
      </w:pPr>
      <w:r>
        <w:rPr>
          <w:rFonts w:hint="eastAsia"/>
          <w:b/>
          <w:bCs/>
          <w:color w:val="auto"/>
          <w:sz w:val="36"/>
          <w:szCs w:val="36"/>
          <w:highlight w:val="none"/>
          <w:lang w:val="en-US" w:eastAsia="zh-CN"/>
        </w:rPr>
        <w:t>招标文件</w:t>
      </w:r>
    </w:p>
    <w:p w14:paraId="40F1BBDF">
      <w:pPr>
        <w:rPr>
          <w:rFonts w:hint="eastAsia"/>
          <w:color w:val="auto"/>
          <w:highlight w:val="none"/>
          <w:lang w:val="en-US" w:eastAsia="zh-CN"/>
        </w:rPr>
      </w:pPr>
    </w:p>
    <w:p w14:paraId="466439F0">
      <w:pPr>
        <w:rPr>
          <w:rFonts w:hint="eastAsia"/>
          <w:color w:val="auto"/>
          <w:highlight w:val="none"/>
          <w:lang w:val="en-US" w:eastAsia="zh-CN"/>
        </w:rPr>
      </w:pPr>
    </w:p>
    <w:p w14:paraId="02283BEB">
      <w:pPr>
        <w:rPr>
          <w:rFonts w:hint="eastAsia"/>
          <w:color w:val="auto"/>
          <w:highlight w:val="none"/>
          <w:lang w:val="en-US" w:eastAsia="zh-CN"/>
        </w:rPr>
      </w:pPr>
    </w:p>
    <w:p w14:paraId="6EFA5BCC">
      <w:pPr>
        <w:rPr>
          <w:rFonts w:hint="eastAsia"/>
          <w:color w:val="auto"/>
          <w:highlight w:val="none"/>
          <w:lang w:val="en-US" w:eastAsia="zh-CN"/>
        </w:rPr>
      </w:pPr>
    </w:p>
    <w:p w14:paraId="62AD34DD">
      <w:pPr>
        <w:rPr>
          <w:rFonts w:hint="eastAsia"/>
          <w:color w:val="auto"/>
          <w:highlight w:val="none"/>
          <w:lang w:val="en-US" w:eastAsia="zh-CN"/>
        </w:rPr>
      </w:pPr>
    </w:p>
    <w:p w14:paraId="3A67C187">
      <w:pPr>
        <w:rPr>
          <w:rFonts w:hint="eastAsia"/>
          <w:color w:val="auto"/>
          <w:highlight w:val="none"/>
          <w:lang w:val="en-US" w:eastAsia="zh-CN"/>
        </w:rPr>
      </w:pPr>
    </w:p>
    <w:p w14:paraId="6C63A8CD">
      <w:pPr>
        <w:rPr>
          <w:rFonts w:hint="eastAsia"/>
          <w:color w:val="auto"/>
          <w:highlight w:val="none"/>
          <w:lang w:val="en-US" w:eastAsia="zh-CN"/>
        </w:rPr>
      </w:pPr>
    </w:p>
    <w:p w14:paraId="2CE171CC">
      <w:pPr>
        <w:rPr>
          <w:rFonts w:hint="eastAsia"/>
          <w:color w:val="auto"/>
          <w:highlight w:val="none"/>
          <w:lang w:val="en-US" w:eastAsia="zh-CN"/>
        </w:rPr>
      </w:pPr>
    </w:p>
    <w:p w14:paraId="20EF33B7">
      <w:pPr>
        <w:rPr>
          <w:rFonts w:hint="eastAsia"/>
          <w:color w:val="auto"/>
          <w:highlight w:val="none"/>
          <w:lang w:val="en-US" w:eastAsia="zh-CN"/>
        </w:rPr>
      </w:pPr>
    </w:p>
    <w:p w14:paraId="0ADCFEF9">
      <w:pPr>
        <w:rPr>
          <w:rFonts w:hint="eastAsia"/>
          <w:color w:val="auto"/>
          <w:highlight w:val="none"/>
          <w:lang w:val="en-US" w:eastAsia="zh-CN"/>
        </w:rPr>
      </w:pPr>
    </w:p>
    <w:p w14:paraId="134E21ED">
      <w:pPr>
        <w:rPr>
          <w:rFonts w:hint="eastAsia"/>
          <w:color w:val="auto"/>
          <w:highlight w:val="none"/>
          <w:lang w:val="en-US" w:eastAsia="zh-CN"/>
        </w:rPr>
      </w:pPr>
    </w:p>
    <w:p w14:paraId="2FA6C93C">
      <w:pPr>
        <w:jc w:val="center"/>
        <w:rPr>
          <w:rFonts w:hint="eastAsia"/>
          <w:color w:val="auto"/>
          <w:sz w:val="36"/>
          <w:szCs w:val="36"/>
          <w:highlight w:val="none"/>
          <w:lang w:val="en-US" w:eastAsia="zh-CN"/>
        </w:rPr>
      </w:pPr>
      <w:r>
        <w:rPr>
          <w:rFonts w:hint="eastAsia"/>
          <w:color w:val="auto"/>
          <w:sz w:val="36"/>
          <w:szCs w:val="36"/>
          <w:highlight w:val="none"/>
          <w:lang w:val="en-US" w:eastAsia="zh-CN"/>
        </w:rPr>
        <w:t>2026年5月</w:t>
      </w:r>
    </w:p>
    <w:p w14:paraId="21F88010">
      <w:pPr>
        <w:rPr>
          <w:rFonts w:hint="eastAsia"/>
          <w:color w:val="auto"/>
          <w:highlight w:val="none"/>
          <w:lang w:val="en-US" w:eastAsia="zh-CN"/>
        </w:rPr>
      </w:pPr>
    </w:p>
    <w:p w14:paraId="4408CD42">
      <w:pPr>
        <w:rPr>
          <w:rFonts w:hint="eastAsia"/>
          <w:color w:val="auto"/>
          <w:highlight w:val="none"/>
          <w:lang w:val="en-US" w:eastAsia="zh-CN"/>
        </w:rPr>
      </w:pPr>
    </w:p>
    <w:p w14:paraId="35BCFA57">
      <w:pPr>
        <w:rPr>
          <w:rFonts w:hint="eastAsia"/>
          <w:color w:val="auto"/>
          <w:highlight w:val="none"/>
          <w:lang w:val="en-US" w:eastAsia="zh-CN"/>
        </w:rPr>
        <w:sectPr>
          <w:pgSz w:w="11900" w:h="16840"/>
          <w:pgMar w:top="1440" w:right="1800" w:bottom="1440" w:left="1800" w:header="851" w:footer="992" w:gutter="0"/>
          <w:cols w:space="425" w:num="1"/>
          <w:docGrid w:type="lines" w:linePitch="312" w:charSpace="0"/>
        </w:sectPr>
      </w:pPr>
    </w:p>
    <w:p w14:paraId="58AEFCC0">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目录</w:t>
      </w:r>
    </w:p>
    <w:p w14:paraId="17DC2FE4">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color w:val="auto"/>
          <w:highlight w:val="none"/>
          <w:lang w:val="en-US" w:eastAsia="zh-CN"/>
        </w:rPr>
        <w:instrText xml:space="preserve"> HYPERLINK \l _Toc16529 </w:instrText>
      </w:r>
      <w:r>
        <w:rPr>
          <w:rFonts w:hint="eastAsia"/>
          <w:color w:val="auto"/>
          <w:highlight w:val="none"/>
          <w:lang w:val="en-US" w:eastAsia="zh-CN"/>
        </w:rPr>
        <w:fldChar w:fldCharType="separate"/>
      </w:r>
      <w:r>
        <w:rPr>
          <w:rFonts w:hint="eastAsia"/>
          <w:color w:val="auto"/>
          <w:highlight w:val="none"/>
          <w:lang w:val="en-US" w:eastAsia="zh-CN"/>
        </w:rPr>
        <w:t>第一部分 招标公告</w:t>
      </w:r>
      <w:r>
        <w:rPr>
          <w:color w:val="auto"/>
        </w:rPr>
        <w:tab/>
      </w:r>
      <w:r>
        <w:rPr>
          <w:color w:val="auto"/>
        </w:rPr>
        <w:fldChar w:fldCharType="begin"/>
      </w:r>
      <w:r>
        <w:rPr>
          <w:color w:val="auto"/>
        </w:rPr>
        <w:instrText xml:space="preserve"> PAGEREF _Toc16529 \h </w:instrText>
      </w:r>
      <w:r>
        <w:rPr>
          <w:color w:val="auto"/>
        </w:rPr>
        <w:fldChar w:fldCharType="separate"/>
      </w:r>
      <w:r>
        <w:rPr>
          <w:color w:val="auto"/>
        </w:rPr>
        <w:t>1</w:t>
      </w:r>
      <w:r>
        <w:rPr>
          <w:color w:val="auto"/>
        </w:rPr>
        <w:fldChar w:fldCharType="end"/>
      </w:r>
      <w:r>
        <w:rPr>
          <w:rFonts w:hint="eastAsia"/>
          <w:color w:val="auto"/>
          <w:highlight w:val="none"/>
          <w:lang w:val="en-US" w:eastAsia="zh-CN"/>
        </w:rPr>
        <w:fldChar w:fldCharType="end"/>
      </w:r>
    </w:p>
    <w:p w14:paraId="0B15D04B">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_Toc19923 </w:instrText>
      </w:r>
      <w:r>
        <w:rPr>
          <w:rFonts w:hint="eastAsia"/>
          <w:color w:val="auto"/>
          <w:highlight w:val="none"/>
          <w:lang w:val="en-US" w:eastAsia="zh-CN"/>
        </w:rPr>
        <w:fldChar w:fldCharType="separate"/>
      </w:r>
      <w:r>
        <w:rPr>
          <w:rFonts w:hint="eastAsia"/>
          <w:color w:val="auto"/>
          <w:highlight w:val="none"/>
          <w:lang w:val="en-US" w:eastAsia="zh-CN"/>
        </w:rPr>
        <w:t>第二部分 投标人须知</w:t>
      </w:r>
      <w:r>
        <w:rPr>
          <w:color w:val="auto"/>
        </w:rPr>
        <w:tab/>
      </w:r>
      <w:r>
        <w:rPr>
          <w:color w:val="auto"/>
        </w:rPr>
        <w:fldChar w:fldCharType="begin"/>
      </w:r>
      <w:r>
        <w:rPr>
          <w:color w:val="auto"/>
        </w:rPr>
        <w:instrText xml:space="preserve"> PAGEREF _Toc19923 \h </w:instrText>
      </w:r>
      <w:r>
        <w:rPr>
          <w:color w:val="auto"/>
        </w:rPr>
        <w:fldChar w:fldCharType="separate"/>
      </w:r>
      <w:r>
        <w:rPr>
          <w:color w:val="auto"/>
        </w:rPr>
        <w:t>2</w:t>
      </w:r>
      <w:r>
        <w:rPr>
          <w:color w:val="auto"/>
        </w:rPr>
        <w:fldChar w:fldCharType="end"/>
      </w:r>
      <w:r>
        <w:rPr>
          <w:rFonts w:hint="eastAsia"/>
          <w:color w:val="auto"/>
          <w:highlight w:val="none"/>
          <w:lang w:val="en-US" w:eastAsia="zh-CN"/>
        </w:rPr>
        <w:fldChar w:fldCharType="end"/>
      </w:r>
    </w:p>
    <w:p w14:paraId="6CA391FF">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_Toc23886 </w:instrText>
      </w:r>
      <w:r>
        <w:rPr>
          <w:rFonts w:hint="eastAsia"/>
          <w:color w:val="auto"/>
          <w:highlight w:val="none"/>
          <w:lang w:val="en-US" w:eastAsia="zh-CN"/>
        </w:rPr>
        <w:fldChar w:fldCharType="separate"/>
      </w:r>
      <w:r>
        <w:rPr>
          <w:rFonts w:hint="eastAsia"/>
          <w:color w:val="auto"/>
          <w:highlight w:val="none"/>
          <w:lang w:val="en-US" w:eastAsia="zh-CN"/>
        </w:rPr>
        <w:t>第三部分 评审规则</w:t>
      </w:r>
      <w:r>
        <w:rPr>
          <w:color w:val="auto"/>
        </w:rPr>
        <w:tab/>
      </w:r>
      <w:r>
        <w:rPr>
          <w:color w:val="auto"/>
        </w:rPr>
        <w:fldChar w:fldCharType="begin"/>
      </w:r>
      <w:r>
        <w:rPr>
          <w:color w:val="auto"/>
        </w:rPr>
        <w:instrText xml:space="preserve"> PAGEREF _Toc23886 \h </w:instrText>
      </w:r>
      <w:r>
        <w:rPr>
          <w:color w:val="auto"/>
        </w:rPr>
        <w:fldChar w:fldCharType="separate"/>
      </w:r>
      <w:r>
        <w:rPr>
          <w:color w:val="auto"/>
        </w:rPr>
        <w:t>6</w:t>
      </w:r>
      <w:r>
        <w:rPr>
          <w:color w:val="auto"/>
        </w:rPr>
        <w:fldChar w:fldCharType="end"/>
      </w:r>
      <w:r>
        <w:rPr>
          <w:rFonts w:hint="eastAsia"/>
          <w:color w:val="auto"/>
          <w:highlight w:val="none"/>
          <w:lang w:val="en-US" w:eastAsia="zh-CN"/>
        </w:rPr>
        <w:fldChar w:fldCharType="end"/>
      </w:r>
    </w:p>
    <w:p w14:paraId="02BCEBDB">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_Toc23054 </w:instrText>
      </w:r>
      <w:r>
        <w:rPr>
          <w:rFonts w:hint="eastAsia"/>
          <w:color w:val="auto"/>
          <w:highlight w:val="none"/>
          <w:lang w:val="en-US" w:eastAsia="zh-CN"/>
        </w:rPr>
        <w:fldChar w:fldCharType="separate"/>
      </w:r>
      <w:r>
        <w:rPr>
          <w:rFonts w:hint="eastAsia"/>
          <w:color w:val="auto"/>
          <w:highlight w:val="none"/>
          <w:lang w:val="en-US" w:eastAsia="zh-CN"/>
        </w:rPr>
        <w:t>第四部分 项目需求</w:t>
      </w:r>
      <w:r>
        <w:rPr>
          <w:color w:val="auto"/>
        </w:rPr>
        <w:tab/>
      </w:r>
      <w:r>
        <w:rPr>
          <w:color w:val="auto"/>
        </w:rPr>
        <w:fldChar w:fldCharType="begin"/>
      </w:r>
      <w:r>
        <w:rPr>
          <w:color w:val="auto"/>
        </w:rPr>
        <w:instrText xml:space="preserve"> PAGEREF _Toc23054 \h </w:instrText>
      </w:r>
      <w:r>
        <w:rPr>
          <w:color w:val="auto"/>
        </w:rPr>
        <w:fldChar w:fldCharType="separate"/>
      </w:r>
      <w:r>
        <w:rPr>
          <w:color w:val="auto"/>
        </w:rPr>
        <w:t>10</w:t>
      </w:r>
      <w:r>
        <w:rPr>
          <w:color w:val="auto"/>
        </w:rPr>
        <w:fldChar w:fldCharType="end"/>
      </w:r>
      <w:r>
        <w:rPr>
          <w:rFonts w:hint="eastAsia"/>
          <w:color w:val="auto"/>
          <w:highlight w:val="none"/>
          <w:lang w:val="en-US" w:eastAsia="zh-CN"/>
        </w:rPr>
        <w:fldChar w:fldCharType="end"/>
      </w:r>
    </w:p>
    <w:p w14:paraId="279E8DF3">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_Toc12137 </w:instrText>
      </w:r>
      <w:r>
        <w:rPr>
          <w:rFonts w:hint="eastAsia"/>
          <w:color w:val="auto"/>
          <w:highlight w:val="none"/>
          <w:lang w:val="en-US" w:eastAsia="zh-CN"/>
        </w:rPr>
        <w:fldChar w:fldCharType="separate"/>
      </w:r>
      <w:r>
        <w:rPr>
          <w:rFonts w:hint="eastAsia"/>
          <w:color w:val="auto"/>
          <w:highlight w:val="none"/>
        </w:rPr>
        <w:t>第五部分 投标文件</w:t>
      </w:r>
      <w:r>
        <w:rPr>
          <w:rFonts w:hint="eastAsia"/>
          <w:color w:val="auto"/>
          <w:highlight w:val="none"/>
          <w:lang w:val="en-US" w:eastAsia="zh-CN"/>
        </w:rPr>
        <w:t>格式</w:t>
      </w:r>
      <w:r>
        <w:rPr>
          <w:rFonts w:hint="eastAsia"/>
          <w:color w:val="auto"/>
          <w:highlight w:val="none"/>
        </w:rPr>
        <w:t>装订顺序</w:t>
      </w:r>
      <w:r>
        <w:rPr>
          <w:color w:val="auto"/>
        </w:rPr>
        <w:tab/>
      </w:r>
      <w:r>
        <w:rPr>
          <w:color w:val="auto"/>
        </w:rPr>
        <w:fldChar w:fldCharType="begin"/>
      </w:r>
      <w:r>
        <w:rPr>
          <w:color w:val="auto"/>
        </w:rPr>
        <w:instrText xml:space="preserve"> PAGEREF _Toc12137 \h </w:instrText>
      </w:r>
      <w:r>
        <w:rPr>
          <w:color w:val="auto"/>
        </w:rPr>
        <w:fldChar w:fldCharType="separate"/>
      </w:r>
      <w:r>
        <w:rPr>
          <w:color w:val="auto"/>
        </w:rPr>
        <w:t>13</w:t>
      </w:r>
      <w:r>
        <w:rPr>
          <w:color w:val="auto"/>
        </w:rPr>
        <w:fldChar w:fldCharType="end"/>
      </w:r>
      <w:r>
        <w:rPr>
          <w:rFonts w:hint="eastAsia"/>
          <w:color w:val="auto"/>
          <w:highlight w:val="none"/>
          <w:lang w:val="en-US" w:eastAsia="zh-CN"/>
        </w:rPr>
        <w:fldChar w:fldCharType="end"/>
      </w:r>
    </w:p>
    <w:p w14:paraId="6E1B57C3">
      <w:pPr>
        <w:pStyle w:val="16"/>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_Toc9462 </w:instrText>
      </w:r>
      <w:r>
        <w:rPr>
          <w:rFonts w:hint="eastAsia"/>
          <w:color w:val="auto"/>
          <w:highlight w:val="none"/>
          <w:lang w:val="en-US" w:eastAsia="zh-CN"/>
        </w:rPr>
        <w:fldChar w:fldCharType="separate"/>
      </w:r>
      <w:r>
        <w:rPr>
          <w:rFonts w:hint="eastAsia"/>
          <w:color w:val="auto"/>
          <w:highlight w:val="none"/>
        </w:rPr>
        <w:t>第六部分 相关文件格式</w:t>
      </w:r>
      <w:r>
        <w:rPr>
          <w:color w:val="auto"/>
        </w:rPr>
        <w:tab/>
      </w:r>
      <w:r>
        <w:rPr>
          <w:color w:val="auto"/>
        </w:rPr>
        <w:fldChar w:fldCharType="begin"/>
      </w:r>
      <w:r>
        <w:rPr>
          <w:color w:val="auto"/>
        </w:rPr>
        <w:instrText xml:space="preserve"> PAGEREF _Toc9462 \h </w:instrText>
      </w:r>
      <w:r>
        <w:rPr>
          <w:color w:val="auto"/>
        </w:rPr>
        <w:fldChar w:fldCharType="separate"/>
      </w:r>
      <w:r>
        <w:rPr>
          <w:color w:val="auto"/>
        </w:rPr>
        <w:t>13</w:t>
      </w:r>
      <w:r>
        <w:rPr>
          <w:color w:val="auto"/>
        </w:rPr>
        <w:fldChar w:fldCharType="end"/>
      </w:r>
      <w:r>
        <w:rPr>
          <w:rFonts w:hint="eastAsia"/>
          <w:color w:val="auto"/>
          <w:highlight w:val="none"/>
          <w:lang w:val="en-US" w:eastAsia="zh-CN"/>
        </w:rPr>
        <w:fldChar w:fldCharType="end"/>
      </w:r>
    </w:p>
    <w:p w14:paraId="619A8B92">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_Toc6694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一、采购响应函</w:t>
      </w:r>
      <w:r>
        <w:rPr>
          <w:color w:val="auto"/>
        </w:rPr>
        <w:tab/>
      </w:r>
      <w:r>
        <w:rPr>
          <w:color w:val="auto"/>
        </w:rPr>
        <w:fldChar w:fldCharType="begin"/>
      </w:r>
      <w:r>
        <w:rPr>
          <w:color w:val="auto"/>
        </w:rPr>
        <w:instrText xml:space="preserve"> PAGEREF _Toc6694 \h </w:instrText>
      </w:r>
      <w:r>
        <w:rPr>
          <w:color w:val="auto"/>
        </w:rPr>
        <w:fldChar w:fldCharType="separate"/>
      </w:r>
      <w:r>
        <w:rPr>
          <w:color w:val="auto"/>
        </w:rPr>
        <w:t>15</w:t>
      </w:r>
      <w:r>
        <w:rPr>
          <w:color w:val="auto"/>
        </w:rPr>
        <w:fldChar w:fldCharType="end"/>
      </w:r>
      <w:r>
        <w:rPr>
          <w:rFonts w:hint="eastAsia"/>
          <w:color w:val="auto"/>
          <w:highlight w:val="none"/>
          <w:lang w:val="en-US" w:eastAsia="zh-CN"/>
        </w:rPr>
        <w:fldChar w:fldCharType="end"/>
      </w:r>
    </w:p>
    <w:p w14:paraId="42CC6065">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_Toc21762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二、</w:t>
      </w:r>
      <w:r>
        <w:rPr>
          <w:rFonts w:hint="eastAsia" w:cs="宋体"/>
          <w:bCs/>
          <w:color w:val="auto"/>
          <w:szCs w:val="21"/>
          <w:highlight w:val="none"/>
          <w:lang w:val="en-US" w:eastAsia="zh-CN"/>
        </w:rPr>
        <w:t>报价</w:t>
      </w:r>
      <w:r>
        <w:rPr>
          <w:rFonts w:hint="eastAsia" w:ascii="宋体" w:hAnsi="宋体" w:eastAsia="宋体" w:cs="宋体"/>
          <w:bCs/>
          <w:color w:val="auto"/>
          <w:szCs w:val="21"/>
          <w:highlight w:val="none"/>
          <w:lang w:val="en-US" w:eastAsia="zh-CN"/>
        </w:rPr>
        <w:t>表</w:t>
      </w:r>
      <w:r>
        <w:rPr>
          <w:color w:val="auto"/>
        </w:rPr>
        <w:tab/>
      </w:r>
      <w:r>
        <w:rPr>
          <w:color w:val="auto"/>
        </w:rPr>
        <w:fldChar w:fldCharType="begin"/>
      </w:r>
      <w:r>
        <w:rPr>
          <w:color w:val="auto"/>
        </w:rPr>
        <w:instrText xml:space="preserve"> PAGEREF _Toc21762 \h </w:instrText>
      </w:r>
      <w:r>
        <w:rPr>
          <w:color w:val="auto"/>
        </w:rPr>
        <w:fldChar w:fldCharType="separate"/>
      </w:r>
      <w:r>
        <w:rPr>
          <w:color w:val="auto"/>
        </w:rPr>
        <w:t>16</w:t>
      </w:r>
      <w:r>
        <w:rPr>
          <w:color w:val="auto"/>
        </w:rPr>
        <w:fldChar w:fldCharType="end"/>
      </w:r>
      <w:r>
        <w:rPr>
          <w:rFonts w:hint="eastAsia"/>
          <w:color w:val="auto"/>
          <w:highlight w:val="none"/>
          <w:lang w:val="en-US" w:eastAsia="zh-CN"/>
        </w:rPr>
        <w:fldChar w:fldCharType="end"/>
      </w:r>
    </w:p>
    <w:p w14:paraId="5169C10B">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_Toc16725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三、法定代表人（单位负责人）身份证明</w:t>
      </w:r>
      <w:r>
        <w:rPr>
          <w:color w:val="auto"/>
        </w:rPr>
        <w:tab/>
      </w:r>
      <w:r>
        <w:rPr>
          <w:color w:val="auto"/>
        </w:rPr>
        <w:fldChar w:fldCharType="begin"/>
      </w:r>
      <w:r>
        <w:rPr>
          <w:color w:val="auto"/>
        </w:rPr>
        <w:instrText xml:space="preserve"> PAGEREF _Toc16725 \h </w:instrText>
      </w:r>
      <w:r>
        <w:rPr>
          <w:color w:val="auto"/>
        </w:rPr>
        <w:fldChar w:fldCharType="separate"/>
      </w:r>
      <w:r>
        <w:rPr>
          <w:color w:val="auto"/>
        </w:rPr>
        <w:t>17</w:t>
      </w:r>
      <w:r>
        <w:rPr>
          <w:color w:val="auto"/>
        </w:rPr>
        <w:fldChar w:fldCharType="end"/>
      </w:r>
      <w:r>
        <w:rPr>
          <w:rFonts w:hint="eastAsia"/>
          <w:color w:val="auto"/>
          <w:highlight w:val="none"/>
          <w:lang w:val="en-US" w:eastAsia="zh-CN"/>
        </w:rPr>
        <w:fldChar w:fldCharType="end"/>
      </w:r>
    </w:p>
    <w:p w14:paraId="6376CC9C">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_Toc8469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四、授权委托书</w:t>
      </w:r>
      <w:r>
        <w:rPr>
          <w:color w:val="auto"/>
        </w:rPr>
        <w:tab/>
      </w:r>
      <w:r>
        <w:rPr>
          <w:color w:val="auto"/>
        </w:rPr>
        <w:fldChar w:fldCharType="begin"/>
      </w:r>
      <w:r>
        <w:rPr>
          <w:color w:val="auto"/>
        </w:rPr>
        <w:instrText xml:space="preserve"> PAGEREF _Toc8469 \h </w:instrText>
      </w:r>
      <w:r>
        <w:rPr>
          <w:color w:val="auto"/>
        </w:rPr>
        <w:fldChar w:fldCharType="separate"/>
      </w:r>
      <w:r>
        <w:rPr>
          <w:color w:val="auto"/>
        </w:rPr>
        <w:t>18</w:t>
      </w:r>
      <w:r>
        <w:rPr>
          <w:color w:val="auto"/>
        </w:rPr>
        <w:fldChar w:fldCharType="end"/>
      </w:r>
      <w:r>
        <w:rPr>
          <w:rFonts w:hint="eastAsia"/>
          <w:color w:val="auto"/>
          <w:highlight w:val="none"/>
          <w:lang w:val="en-US" w:eastAsia="zh-CN"/>
        </w:rPr>
        <w:fldChar w:fldCharType="end"/>
      </w:r>
    </w:p>
    <w:p w14:paraId="315946A3">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_Toc24926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五、资格审查资料</w:t>
      </w:r>
      <w:r>
        <w:rPr>
          <w:color w:val="auto"/>
        </w:rPr>
        <w:tab/>
      </w:r>
      <w:r>
        <w:rPr>
          <w:color w:val="auto"/>
        </w:rPr>
        <w:fldChar w:fldCharType="begin"/>
      </w:r>
      <w:r>
        <w:rPr>
          <w:color w:val="auto"/>
        </w:rPr>
        <w:instrText xml:space="preserve"> PAGEREF _Toc24926 \h </w:instrText>
      </w:r>
      <w:r>
        <w:rPr>
          <w:color w:val="auto"/>
        </w:rPr>
        <w:fldChar w:fldCharType="separate"/>
      </w:r>
      <w:r>
        <w:rPr>
          <w:color w:val="auto"/>
        </w:rPr>
        <w:t>20</w:t>
      </w:r>
      <w:r>
        <w:rPr>
          <w:color w:val="auto"/>
        </w:rPr>
        <w:fldChar w:fldCharType="end"/>
      </w:r>
      <w:r>
        <w:rPr>
          <w:rFonts w:hint="eastAsia"/>
          <w:color w:val="auto"/>
          <w:highlight w:val="none"/>
          <w:lang w:val="en-US" w:eastAsia="zh-CN"/>
        </w:rPr>
        <w:fldChar w:fldCharType="end"/>
      </w:r>
    </w:p>
    <w:p w14:paraId="5B07A60C">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_Toc22744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六、供应商廉洁承诺书</w:t>
      </w:r>
      <w:r>
        <w:rPr>
          <w:color w:val="auto"/>
        </w:rPr>
        <w:tab/>
      </w:r>
      <w:r>
        <w:rPr>
          <w:color w:val="auto"/>
        </w:rPr>
        <w:fldChar w:fldCharType="begin"/>
      </w:r>
      <w:r>
        <w:rPr>
          <w:color w:val="auto"/>
        </w:rPr>
        <w:instrText xml:space="preserve"> PAGEREF _Toc22744 \h </w:instrText>
      </w:r>
      <w:r>
        <w:rPr>
          <w:color w:val="auto"/>
        </w:rPr>
        <w:fldChar w:fldCharType="separate"/>
      </w:r>
      <w:r>
        <w:rPr>
          <w:color w:val="auto"/>
        </w:rPr>
        <w:t>21</w:t>
      </w:r>
      <w:r>
        <w:rPr>
          <w:color w:val="auto"/>
        </w:rPr>
        <w:fldChar w:fldCharType="end"/>
      </w:r>
      <w:r>
        <w:rPr>
          <w:rFonts w:hint="eastAsia"/>
          <w:color w:val="auto"/>
          <w:highlight w:val="none"/>
          <w:lang w:val="en-US" w:eastAsia="zh-CN"/>
        </w:rPr>
        <w:fldChar w:fldCharType="end"/>
      </w:r>
    </w:p>
    <w:p w14:paraId="6626E214">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_Toc1179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七、投标</w:t>
      </w:r>
      <w:r>
        <w:rPr>
          <w:rFonts w:hint="eastAsia" w:ascii="宋体" w:hAnsi="宋体" w:eastAsia="宋体" w:cs="宋体"/>
          <w:bCs/>
          <w:color w:val="auto"/>
          <w:szCs w:val="21"/>
          <w:highlight w:val="none"/>
          <w:lang w:val="zh-CN" w:eastAsia="zh-CN"/>
        </w:rPr>
        <w:t>承诺</w:t>
      </w:r>
      <w:r>
        <w:rPr>
          <w:rFonts w:hint="eastAsia" w:cs="宋体"/>
          <w:bCs/>
          <w:color w:val="auto"/>
          <w:szCs w:val="21"/>
          <w:highlight w:val="none"/>
          <w:lang w:val="en-US" w:eastAsia="zh-CN"/>
        </w:rPr>
        <w:t>书</w:t>
      </w:r>
      <w:r>
        <w:rPr>
          <w:color w:val="auto"/>
        </w:rPr>
        <w:tab/>
      </w:r>
      <w:r>
        <w:rPr>
          <w:color w:val="auto"/>
        </w:rPr>
        <w:fldChar w:fldCharType="begin"/>
      </w:r>
      <w:r>
        <w:rPr>
          <w:color w:val="auto"/>
        </w:rPr>
        <w:instrText xml:space="preserve"> PAGEREF _Toc1179 \h </w:instrText>
      </w:r>
      <w:r>
        <w:rPr>
          <w:color w:val="auto"/>
        </w:rPr>
        <w:fldChar w:fldCharType="separate"/>
      </w:r>
      <w:r>
        <w:rPr>
          <w:color w:val="auto"/>
        </w:rPr>
        <w:t>22</w:t>
      </w:r>
      <w:r>
        <w:rPr>
          <w:color w:val="auto"/>
        </w:rPr>
        <w:fldChar w:fldCharType="end"/>
      </w:r>
      <w:r>
        <w:rPr>
          <w:rFonts w:hint="eastAsia"/>
          <w:color w:val="auto"/>
          <w:highlight w:val="none"/>
          <w:lang w:val="en-US" w:eastAsia="zh-CN"/>
        </w:rPr>
        <w:fldChar w:fldCharType="end"/>
      </w:r>
    </w:p>
    <w:p w14:paraId="7B08FB20">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_Toc22830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八、投标人信用承诺</w:t>
      </w:r>
      <w:r>
        <w:rPr>
          <w:color w:val="auto"/>
        </w:rPr>
        <w:tab/>
      </w:r>
      <w:r>
        <w:rPr>
          <w:color w:val="auto"/>
        </w:rPr>
        <w:fldChar w:fldCharType="begin"/>
      </w:r>
      <w:r>
        <w:rPr>
          <w:color w:val="auto"/>
        </w:rPr>
        <w:instrText xml:space="preserve"> PAGEREF _Toc22830 \h </w:instrText>
      </w:r>
      <w:r>
        <w:rPr>
          <w:color w:val="auto"/>
        </w:rPr>
        <w:fldChar w:fldCharType="separate"/>
      </w:r>
      <w:r>
        <w:rPr>
          <w:color w:val="auto"/>
        </w:rPr>
        <w:t>23</w:t>
      </w:r>
      <w:r>
        <w:rPr>
          <w:color w:val="auto"/>
        </w:rPr>
        <w:fldChar w:fldCharType="end"/>
      </w:r>
      <w:r>
        <w:rPr>
          <w:rFonts w:hint="eastAsia"/>
          <w:color w:val="auto"/>
          <w:highlight w:val="none"/>
          <w:lang w:val="en-US" w:eastAsia="zh-CN"/>
        </w:rPr>
        <w:fldChar w:fldCharType="end"/>
      </w:r>
    </w:p>
    <w:p w14:paraId="228AAA43">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_Toc26766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九、技术参数响应（偏离）表格式</w:t>
      </w:r>
      <w:r>
        <w:rPr>
          <w:color w:val="auto"/>
        </w:rPr>
        <w:tab/>
      </w:r>
      <w:r>
        <w:rPr>
          <w:color w:val="auto"/>
        </w:rPr>
        <w:fldChar w:fldCharType="begin"/>
      </w:r>
      <w:r>
        <w:rPr>
          <w:color w:val="auto"/>
        </w:rPr>
        <w:instrText xml:space="preserve"> PAGEREF _Toc26766 \h </w:instrText>
      </w:r>
      <w:r>
        <w:rPr>
          <w:color w:val="auto"/>
        </w:rPr>
        <w:fldChar w:fldCharType="separate"/>
      </w:r>
      <w:r>
        <w:rPr>
          <w:color w:val="auto"/>
        </w:rPr>
        <w:t>24</w:t>
      </w:r>
      <w:r>
        <w:rPr>
          <w:color w:val="auto"/>
        </w:rPr>
        <w:fldChar w:fldCharType="end"/>
      </w:r>
      <w:r>
        <w:rPr>
          <w:rFonts w:hint="eastAsia"/>
          <w:color w:val="auto"/>
          <w:highlight w:val="none"/>
          <w:lang w:val="en-US" w:eastAsia="zh-CN"/>
        </w:rPr>
        <w:fldChar w:fldCharType="end"/>
      </w:r>
    </w:p>
    <w:p w14:paraId="437AA61E">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_Toc5398 </w:instrText>
      </w:r>
      <w:r>
        <w:rPr>
          <w:rFonts w:hint="eastAsia"/>
          <w:color w:val="auto"/>
          <w:highlight w:val="none"/>
          <w:lang w:val="en-US" w:eastAsia="zh-CN"/>
        </w:rPr>
        <w:fldChar w:fldCharType="separate"/>
      </w:r>
      <w:r>
        <w:rPr>
          <w:rFonts w:hint="eastAsia" w:ascii="宋体" w:hAnsi="宋体" w:eastAsia="宋体" w:cs="宋体"/>
          <w:bCs/>
          <w:color w:val="auto"/>
          <w:szCs w:val="21"/>
          <w:highlight w:val="none"/>
          <w:lang w:val="en-US" w:eastAsia="zh-CN"/>
        </w:rPr>
        <w:t>十、评审指标对应</w:t>
      </w:r>
      <w:r>
        <w:rPr>
          <w:rFonts w:hint="eastAsia" w:cs="宋体"/>
          <w:bCs/>
          <w:color w:val="auto"/>
          <w:szCs w:val="21"/>
          <w:highlight w:val="none"/>
          <w:lang w:val="en-US" w:eastAsia="zh-CN"/>
        </w:rPr>
        <w:t>材料</w:t>
      </w:r>
      <w:r>
        <w:rPr>
          <w:color w:val="auto"/>
        </w:rPr>
        <w:tab/>
      </w:r>
      <w:r>
        <w:rPr>
          <w:color w:val="auto"/>
        </w:rPr>
        <w:fldChar w:fldCharType="begin"/>
      </w:r>
      <w:r>
        <w:rPr>
          <w:color w:val="auto"/>
        </w:rPr>
        <w:instrText xml:space="preserve"> PAGEREF _Toc5398 \h </w:instrText>
      </w:r>
      <w:r>
        <w:rPr>
          <w:color w:val="auto"/>
        </w:rPr>
        <w:fldChar w:fldCharType="separate"/>
      </w:r>
      <w:r>
        <w:rPr>
          <w:color w:val="auto"/>
        </w:rPr>
        <w:t>25</w:t>
      </w:r>
      <w:r>
        <w:rPr>
          <w:color w:val="auto"/>
        </w:rPr>
        <w:fldChar w:fldCharType="end"/>
      </w:r>
      <w:r>
        <w:rPr>
          <w:rFonts w:hint="eastAsia"/>
          <w:color w:val="auto"/>
          <w:highlight w:val="none"/>
          <w:lang w:val="en-US" w:eastAsia="zh-CN"/>
        </w:rPr>
        <w:fldChar w:fldCharType="end"/>
      </w:r>
    </w:p>
    <w:p w14:paraId="08A03C86">
      <w:pPr>
        <w:pStyle w:val="13"/>
        <w:tabs>
          <w:tab w:val="right" w:leader="dot" w:pos="8300"/>
        </w:tabs>
        <w:rPr>
          <w:color w:val="auto"/>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_Toc14771 </w:instrText>
      </w:r>
      <w:r>
        <w:rPr>
          <w:rFonts w:hint="eastAsia"/>
          <w:color w:val="auto"/>
          <w:highlight w:val="none"/>
          <w:lang w:val="en-US" w:eastAsia="zh-CN"/>
        </w:rPr>
        <w:fldChar w:fldCharType="separate"/>
      </w:r>
      <w:r>
        <w:rPr>
          <w:rFonts w:hint="eastAsia" w:cs="宋体"/>
          <w:bCs/>
          <w:color w:val="auto"/>
          <w:szCs w:val="21"/>
          <w:highlight w:val="none"/>
          <w:lang w:val="en-US" w:eastAsia="zh-CN"/>
        </w:rPr>
        <w:t>十一、</w:t>
      </w:r>
      <w:r>
        <w:rPr>
          <w:rFonts w:hint="eastAsia" w:ascii="宋体" w:hAnsi="宋体" w:eastAsia="宋体" w:cs="宋体"/>
          <w:bCs/>
          <w:color w:val="auto"/>
          <w:szCs w:val="21"/>
          <w:highlight w:val="none"/>
          <w:lang w:val="en-US" w:eastAsia="zh-CN"/>
        </w:rPr>
        <w:t>投标人认为需要提供的其他</w:t>
      </w:r>
      <w:r>
        <w:rPr>
          <w:rFonts w:hint="eastAsia" w:cs="宋体"/>
          <w:bCs/>
          <w:color w:val="auto"/>
          <w:szCs w:val="21"/>
          <w:highlight w:val="none"/>
          <w:lang w:val="en-US" w:eastAsia="zh-CN"/>
        </w:rPr>
        <w:t>补充</w:t>
      </w:r>
      <w:r>
        <w:rPr>
          <w:rFonts w:hint="eastAsia" w:ascii="宋体" w:hAnsi="宋体" w:eastAsia="宋体" w:cs="宋体"/>
          <w:bCs/>
          <w:color w:val="auto"/>
          <w:szCs w:val="21"/>
          <w:highlight w:val="none"/>
          <w:lang w:val="en-US" w:eastAsia="zh-CN"/>
        </w:rPr>
        <w:t>资料</w:t>
      </w:r>
      <w:r>
        <w:rPr>
          <w:color w:val="auto"/>
        </w:rPr>
        <w:tab/>
      </w:r>
      <w:r>
        <w:rPr>
          <w:color w:val="auto"/>
        </w:rPr>
        <w:fldChar w:fldCharType="begin"/>
      </w:r>
      <w:r>
        <w:rPr>
          <w:color w:val="auto"/>
        </w:rPr>
        <w:instrText xml:space="preserve"> PAGEREF _Toc14771 \h </w:instrText>
      </w:r>
      <w:r>
        <w:rPr>
          <w:color w:val="auto"/>
        </w:rPr>
        <w:fldChar w:fldCharType="separate"/>
      </w:r>
      <w:r>
        <w:rPr>
          <w:color w:val="auto"/>
        </w:rPr>
        <w:t>26</w:t>
      </w:r>
      <w:r>
        <w:rPr>
          <w:color w:val="auto"/>
        </w:rPr>
        <w:fldChar w:fldCharType="end"/>
      </w:r>
      <w:r>
        <w:rPr>
          <w:rFonts w:hint="eastAsia"/>
          <w:color w:val="auto"/>
          <w:highlight w:val="none"/>
          <w:lang w:val="en-US" w:eastAsia="zh-CN"/>
        </w:rPr>
        <w:fldChar w:fldCharType="end"/>
      </w:r>
    </w:p>
    <w:p w14:paraId="63D3B5B1">
      <w:pPr>
        <w:rPr>
          <w:rFonts w:hint="eastAsia"/>
          <w:color w:val="auto"/>
          <w:highlight w:val="none"/>
          <w:lang w:val="en-US" w:eastAsia="zh-CN"/>
        </w:rPr>
      </w:pPr>
      <w:r>
        <w:rPr>
          <w:rFonts w:hint="eastAsia"/>
          <w:color w:val="auto"/>
          <w:highlight w:val="none"/>
          <w:lang w:val="en-US" w:eastAsia="zh-CN"/>
        </w:rPr>
        <w:fldChar w:fldCharType="end"/>
      </w:r>
    </w:p>
    <w:p w14:paraId="7F3C4C73">
      <w:pPr>
        <w:rPr>
          <w:rFonts w:hint="eastAsia"/>
          <w:color w:val="auto"/>
          <w:highlight w:val="none"/>
          <w:lang w:val="en-US" w:eastAsia="zh-CN"/>
        </w:rPr>
      </w:pPr>
    </w:p>
    <w:p w14:paraId="064E537E">
      <w:pPr>
        <w:pStyle w:val="3"/>
        <w:bidi w:val="0"/>
        <w:rPr>
          <w:rFonts w:hint="eastAsia"/>
          <w:color w:val="auto"/>
          <w:highlight w:val="none"/>
          <w:lang w:val="en-US" w:eastAsia="zh-CN"/>
        </w:rPr>
        <w:sectPr>
          <w:pgSz w:w="11900" w:h="16840"/>
          <w:pgMar w:top="1440" w:right="1800" w:bottom="1440" w:left="1800" w:header="851" w:footer="992" w:gutter="0"/>
          <w:cols w:space="425" w:num="1"/>
          <w:docGrid w:type="lines" w:linePitch="312" w:charSpace="0"/>
        </w:sectPr>
      </w:pPr>
    </w:p>
    <w:p w14:paraId="64AFBA63">
      <w:pPr>
        <w:pStyle w:val="3"/>
        <w:bidi w:val="0"/>
        <w:rPr>
          <w:rFonts w:hint="eastAsia"/>
          <w:color w:val="auto"/>
          <w:highlight w:val="none"/>
          <w:lang w:val="en-US" w:eastAsia="zh-CN"/>
        </w:rPr>
      </w:pPr>
      <w:bookmarkStart w:id="0" w:name="_Toc10494"/>
      <w:bookmarkStart w:id="1" w:name="_Toc17806"/>
      <w:bookmarkStart w:id="2" w:name="_Toc20522"/>
      <w:bookmarkStart w:id="3" w:name="_Toc15992"/>
      <w:bookmarkStart w:id="4" w:name="_Toc16529"/>
      <w:r>
        <w:rPr>
          <w:rFonts w:hint="eastAsia"/>
          <w:color w:val="auto"/>
          <w:highlight w:val="none"/>
          <w:lang w:val="en-US" w:eastAsia="zh-CN"/>
        </w:rPr>
        <w:t>第一部分 招标公告</w:t>
      </w:r>
      <w:bookmarkEnd w:id="0"/>
      <w:bookmarkEnd w:id="1"/>
      <w:bookmarkEnd w:id="2"/>
      <w:bookmarkEnd w:id="3"/>
      <w:bookmarkEnd w:id="4"/>
    </w:p>
    <w:p w14:paraId="1B7DB0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安徽新安银行股份有限公司因业务发展需要，现对“安徽新安银行零信任设备采购项目”进行公开招标，欢迎符合资格条件的供应商参与投标。</w:t>
      </w:r>
    </w:p>
    <w:p w14:paraId="018AF7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一、招标项目名称及内容：</w:t>
      </w:r>
    </w:p>
    <w:p w14:paraId="5D15F1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1、招标人：安徽新安银行股份有限公司</w:t>
      </w:r>
    </w:p>
    <w:p w14:paraId="08C81E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2、项目名称：安徽新安银行零信任设备采购项目</w:t>
      </w:r>
    </w:p>
    <w:p w14:paraId="131502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3、招标人式：公开招标</w:t>
      </w:r>
    </w:p>
    <w:p w14:paraId="534E1F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4、项目预算：16万元（不含）</w:t>
      </w:r>
    </w:p>
    <w:p w14:paraId="5AEFCC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5、项目内容：本项目为零信任设备采购及相关配套服务，具体采购规格、技术参数、服务要求等详见招标文件。</w:t>
      </w:r>
    </w:p>
    <w:p w14:paraId="17CDB2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6、资金来源：自筹资金</w:t>
      </w:r>
    </w:p>
    <w:p w14:paraId="148DA8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7、资格审查方式：资格预审</w:t>
      </w:r>
    </w:p>
    <w:p w14:paraId="7352F0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二、投标人资格预审要求：</w:t>
      </w:r>
    </w:p>
    <w:p w14:paraId="573BDA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1、投标人须为中华人民共和国境内依法注册的独立法人，具备独立承担民事责任的能力，提供有效营业执照复印件并加盖单位公章。</w:t>
      </w:r>
    </w:p>
    <w:p w14:paraId="3FA533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投标人经营状况良好、诚实守信，不得提供虚假材料，无提供虚假材料报名参加采购或招标的历史行为，不得被“信用中国”网站（www.creditchina.gov.cn）列入严重失信主体名单和重大税收违法失信主体名单，也不得被国家企业信用信息公示系统（www.gsxt.gov.cn）列入经营异常名录和严重违法失信名单。（需提供“信用中国”网站及国家企业信用信息公示系统查询的信用记录截图打印稿并加盖单位公章）；</w:t>
      </w:r>
    </w:p>
    <w:p w14:paraId="213EE6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必须未被招投标监督管理部门限制投标（禁止期内），提供承诺书并加盖单位公章，格式自拟。</w:t>
      </w:r>
    </w:p>
    <w:p w14:paraId="779D2E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3、投标人须自2023年1月1日起（以合同签订时间为准），至少具备一个零信任产品业绩案例（需提供合同复印件并加盖单位公章，甲乙双方、项目名称、金额、签订日期等关键信息清晰可见）。</w:t>
      </w:r>
    </w:p>
    <w:p w14:paraId="767BF0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4、投标人需提供《供应商廉洁承诺书》并加盖单位公章。</w:t>
      </w:r>
    </w:p>
    <w:p w14:paraId="0CB506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color w:val="auto"/>
          <w:highlight w:val="none"/>
          <w:lang w:val="en-US" w:eastAsia="zh-CN"/>
        </w:rPr>
        <w:t>5、本项目不接受联合体投标，选中单位不得转包或分包，需提供承诺书并加盖单位公章，格</w:t>
      </w:r>
      <w:r>
        <w:rPr>
          <w:rFonts w:hint="eastAsia" w:ascii="宋体" w:hAnsi="宋体" w:eastAsia="宋体" w:cs="宋体"/>
          <w:color w:val="auto"/>
          <w:highlight w:val="none"/>
          <w:lang w:val="en-US" w:eastAsia="zh-CN"/>
        </w:rPr>
        <w:t>式自拟。</w:t>
      </w:r>
    </w:p>
    <w:p w14:paraId="1B2E33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6.存在关联关系的不同供应商，不得同时参加本项目</w:t>
      </w:r>
      <w:r>
        <w:rPr>
          <w:rFonts w:hint="eastAsia" w:cs="宋体"/>
          <w:color w:val="auto"/>
          <w:highlight w:val="none"/>
          <w:lang w:val="en-US" w:eastAsia="zh-CN"/>
        </w:rPr>
        <w:t>投标</w:t>
      </w:r>
      <w:r>
        <w:rPr>
          <w:rFonts w:hint="eastAsia" w:ascii="宋体" w:hAnsi="宋体" w:eastAsia="宋体" w:cs="宋体"/>
          <w:color w:val="auto"/>
          <w:highlight w:val="none"/>
          <w:lang w:val="en-US" w:eastAsia="zh-CN"/>
        </w:rPr>
        <w:t>。关联关系企业包含以下情况:</w:t>
      </w:r>
    </w:p>
    <w:p w14:paraId="6F1A37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(1)与本企业单位负责人为同一人的其他企业;</w:t>
      </w:r>
    </w:p>
    <w:p w14:paraId="1D8D98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(2)与本企业存在直接控股、管理关系的其他企业;</w:t>
      </w:r>
    </w:p>
    <w:p w14:paraId="1BC1CA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投标供应商</w:t>
      </w:r>
      <w:r>
        <w:rPr>
          <w:rFonts w:hint="eastAsia" w:ascii="宋体" w:hAnsi="宋体" w:eastAsia="宋体" w:cs="宋体"/>
          <w:color w:val="auto"/>
          <w:highlight w:val="none"/>
          <w:lang w:val="en-US" w:eastAsia="zh-CN"/>
        </w:rPr>
        <w:t>应向</w:t>
      </w:r>
      <w:r>
        <w:rPr>
          <w:rFonts w:hint="eastAsia" w:cs="宋体"/>
          <w:color w:val="auto"/>
          <w:highlight w:val="none"/>
          <w:lang w:val="en-US" w:eastAsia="zh-CN"/>
        </w:rPr>
        <w:t>招标人</w:t>
      </w:r>
      <w:r>
        <w:rPr>
          <w:rFonts w:hint="eastAsia" w:ascii="宋体" w:hAnsi="宋体" w:eastAsia="宋体" w:cs="宋体"/>
          <w:color w:val="auto"/>
          <w:highlight w:val="none"/>
          <w:lang w:val="en-US" w:eastAsia="zh-CN"/>
        </w:rPr>
        <w:t>如实披露与本单位存在关联关系的其他企业。</w:t>
      </w:r>
    </w:p>
    <w:p w14:paraId="6ED582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宋体" w:hAnsi="宋体" w:eastAsia="宋体" w:cs="宋体"/>
          <w:color w:val="auto"/>
          <w:highlight w:val="none"/>
          <w:lang w:val="en-US" w:eastAsia="zh-CN"/>
        </w:rPr>
        <w:t>须提供承诺书并加盖单位公章（格式自拟）。如存在关联情况，我方有权取消关联关系企业参与该项目的资格或重新组织采购。</w:t>
      </w:r>
    </w:p>
    <w:p w14:paraId="421B6B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三、报名方式及资格审查</w:t>
      </w:r>
    </w:p>
    <w:p w14:paraId="48DF44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1.投标人将资格要求材料（“二、投标人资格要求”）于本公告挂网日起3个工作日内整理齐全，发送至新安银行邮箱（ztb@xa-bank.com）完成报名，待招标人资格审查通过后，通知投标人参加投标。</w:t>
      </w:r>
    </w:p>
    <w:p w14:paraId="16E222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投标人应当制作纸质投标文件。内容包括但不限于本公司简介、优势、以往的业绩案例、其他相关材料等。投标文件应统一用文件袋密封，封口处加盖单位公章，文件袋正面注明项目名称、投标人名称、授权代理人姓名及联系方式、投递日期等事项。投标人应在采购会当日，采购会通知开始时间前半小时将投标文件送交安徽新安银行，不接受电子投标文件。</w:t>
      </w:r>
    </w:p>
    <w:p w14:paraId="3889E7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四、招标日期和地点：</w:t>
      </w:r>
    </w:p>
    <w:p w14:paraId="7D8AEE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招标日期：具体时间以行方最后通知为准</w:t>
      </w:r>
    </w:p>
    <w:p w14:paraId="720B3B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lang w:val="en-US" w:eastAsia="zh-CN"/>
        </w:rPr>
        <w:t>招标地点：安徽新安银行股份有限公司</w:t>
      </w:r>
    </w:p>
    <w:p w14:paraId="04E848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五、评价方式：</w:t>
      </w:r>
    </w:p>
    <w:p w14:paraId="2D92D2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见招标文件。</w:t>
      </w:r>
    </w:p>
    <w:p w14:paraId="0C0E5A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六、联系方式：</w:t>
      </w:r>
    </w:p>
    <w:p w14:paraId="2096DF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招标人：安徽新安银行股份有限公司</w:t>
      </w:r>
    </w:p>
    <w:p w14:paraId="5040E9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招标联系人：蔡先生17718106359/管经理（0551-69125926）</w:t>
      </w:r>
    </w:p>
    <w:p w14:paraId="0FB1E0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邮箱：ztb@xa-bank.com</w:t>
      </w:r>
    </w:p>
    <w:p w14:paraId="4B316B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招标监察电话：0551-69125963（纪检办公室）</w:t>
      </w:r>
    </w:p>
    <w:p w14:paraId="11B1B7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招标监察邮箱：xajw@xa-bank.com</w:t>
      </w:r>
    </w:p>
    <w:p w14:paraId="557AB1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地址：安徽省合肥市高新区创新大道2800号安徽新安银行</w:t>
      </w:r>
    </w:p>
    <w:p w14:paraId="0ACDC299">
      <w:pPr>
        <w:pStyle w:val="3"/>
        <w:bidi w:val="0"/>
        <w:rPr>
          <w:rFonts w:hint="eastAsia"/>
          <w:color w:val="auto"/>
          <w:highlight w:val="none"/>
          <w:lang w:val="en-US" w:eastAsia="zh-CN"/>
        </w:rPr>
      </w:pPr>
      <w:bookmarkStart w:id="5" w:name="_Toc32621"/>
      <w:bookmarkStart w:id="6" w:name="_Toc11379"/>
      <w:bookmarkStart w:id="7" w:name="_Toc28210"/>
      <w:bookmarkStart w:id="8" w:name="_Toc32272"/>
      <w:bookmarkStart w:id="9" w:name="_Toc19923"/>
      <w:r>
        <w:rPr>
          <w:rFonts w:hint="eastAsia"/>
          <w:color w:val="auto"/>
          <w:highlight w:val="none"/>
          <w:lang w:val="en-US" w:eastAsia="zh-CN"/>
        </w:rPr>
        <w:t>第二部分 投标人须知</w:t>
      </w:r>
      <w:bookmarkEnd w:id="5"/>
      <w:bookmarkEnd w:id="6"/>
      <w:bookmarkEnd w:id="7"/>
      <w:bookmarkEnd w:id="8"/>
      <w:bookmarkEnd w:id="9"/>
    </w:p>
    <w:p w14:paraId="208A8C29">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p>
    <w:p w14:paraId="24274AD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概述</w:t>
      </w:r>
    </w:p>
    <w:p w14:paraId="75AB5380">
      <w:pPr>
        <w:ind w:firstLine="420" w:firstLineChars="200"/>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本文件为安徽新安银行股份有限公司（以下简称“新安银行”</w:t>
      </w:r>
      <w:r>
        <w:rPr>
          <w:rFonts w:hint="eastAsia" w:ascii="宋体" w:hAnsi="宋体" w:eastAsia="宋体" w:cs="宋体"/>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“招标人”）对</w:t>
      </w:r>
      <w:r>
        <w:rPr>
          <w:rFonts w:hint="eastAsia" w:cs="宋体"/>
          <w:bCs/>
          <w:color w:val="auto"/>
          <w:sz w:val="21"/>
          <w:szCs w:val="21"/>
          <w:highlight w:val="none"/>
          <w:lang w:val="en-US" w:eastAsia="zh-CN"/>
        </w:rPr>
        <w:t>安徽</w:t>
      </w:r>
      <w:r>
        <w:rPr>
          <w:rFonts w:hint="eastAsia"/>
          <w:color w:val="auto"/>
          <w:highlight w:val="none"/>
          <w:lang w:val="en-US" w:eastAsia="zh-CN"/>
        </w:rPr>
        <w:t>新安银行零信任设备采购项目</w:t>
      </w:r>
      <w:r>
        <w:rPr>
          <w:rFonts w:hint="eastAsia" w:ascii="宋体" w:hAnsi="宋体" w:eastAsia="宋体" w:cs="宋体"/>
          <w:bCs/>
          <w:color w:val="auto"/>
          <w:sz w:val="21"/>
          <w:szCs w:val="21"/>
          <w:highlight w:val="none"/>
          <w:lang w:val="en-US" w:eastAsia="zh-CN"/>
        </w:rPr>
        <w:t>服务供应商（以下简称“投标人”）提出的采购需求，本文件将作为方案和商务谈判以及合同签订的基础，投标人应针对此项目提供完整的方案。</w:t>
      </w:r>
    </w:p>
    <w:p w14:paraId="36A1D90C">
      <w:pPr>
        <w:ind w:firstLine="420" w:firstLineChars="200"/>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本招标文件提出了招标人对该项目需求的范围和相应的要求，作为投标人编写响应文件之用，投标人应仔细阅读并充分理解。</w:t>
      </w:r>
    </w:p>
    <w:p w14:paraId="7AD5AF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投标文件中需提供的证明、资质等文件材料（包括但不限于公司营业执照、</w:t>
      </w:r>
      <w:r>
        <w:rPr>
          <w:rFonts w:hint="eastAsia" w:ascii="宋体" w:hAnsi="宋体" w:eastAsia="宋体" w:cs="宋体"/>
          <w:bCs/>
          <w:i w:val="0"/>
          <w:iCs w:val="0"/>
          <w:color w:val="auto"/>
          <w:sz w:val="21"/>
          <w:szCs w:val="21"/>
          <w:highlight w:val="none"/>
          <w:lang w:val="en-US" w:eastAsia="zh-CN"/>
        </w:rPr>
        <w:t>授权委托书、承诺</w:t>
      </w:r>
      <w:r>
        <w:rPr>
          <w:rFonts w:hint="eastAsia" w:cs="宋体"/>
          <w:bCs/>
          <w:i w:val="0"/>
          <w:iCs w:val="0"/>
          <w:color w:val="auto"/>
          <w:sz w:val="21"/>
          <w:szCs w:val="21"/>
          <w:highlight w:val="none"/>
          <w:lang w:val="en-US" w:eastAsia="zh-CN"/>
        </w:rPr>
        <w:t>函、</w:t>
      </w:r>
      <w:r>
        <w:rPr>
          <w:rFonts w:hint="eastAsia" w:ascii="宋体" w:hAnsi="宋体" w:eastAsia="宋体" w:cs="宋体"/>
          <w:bCs/>
          <w:color w:val="auto"/>
          <w:sz w:val="21"/>
          <w:szCs w:val="21"/>
          <w:highlight w:val="none"/>
          <w:lang w:val="en-US" w:eastAsia="zh-CN"/>
        </w:rPr>
        <w:t>报价表、产品需求</w:t>
      </w:r>
      <w:r>
        <w:rPr>
          <w:rFonts w:hint="eastAsia" w:cs="宋体"/>
          <w:bCs/>
          <w:color w:val="auto"/>
          <w:sz w:val="21"/>
          <w:szCs w:val="21"/>
          <w:highlight w:val="none"/>
          <w:lang w:val="en-US" w:eastAsia="zh-CN"/>
        </w:rPr>
        <w:t>等</w:t>
      </w:r>
      <w:r>
        <w:rPr>
          <w:rFonts w:hint="eastAsia" w:ascii="宋体" w:hAnsi="宋体" w:eastAsia="宋体" w:cs="宋体"/>
          <w:bCs/>
          <w:color w:val="auto"/>
          <w:sz w:val="21"/>
          <w:szCs w:val="21"/>
          <w:highlight w:val="none"/>
          <w:lang w:val="en-US" w:eastAsia="zh-CN"/>
        </w:rPr>
        <w:t>），除须加盖公章外，另须建立索引表标注材料所在投标文件的页码范围，用于投标时快速查找和答疑</w:t>
      </w:r>
      <w:r>
        <w:rPr>
          <w:rFonts w:hint="eastAsia" w:ascii="宋体" w:hAnsi="宋体" w:eastAsia="宋体" w:cs="宋体"/>
          <w:b w:val="0"/>
          <w:bCs/>
          <w:color w:val="auto"/>
          <w:kern w:val="2"/>
          <w:sz w:val="21"/>
          <w:szCs w:val="21"/>
          <w:highlight w:val="none"/>
          <w:lang w:val="en-US" w:eastAsia="zh-CN" w:bidi="ar-SA"/>
        </w:rPr>
        <w:t>。</w:t>
      </w:r>
    </w:p>
    <w:p w14:paraId="519765D8">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（二）定义</w:t>
      </w:r>
    </w:p>
    <w:p w14:paraId="31893E5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名称：安徽新安银行股份有限公司。</w:t>
      </w:r>
    </w:p>
    <w:p w14:paraId="6A47BEF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文件：新安银行向拟参加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所提供的文件。</w:t>
      </w:r>
    </w:p>
    <w:p w14:paraId="113B458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的</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向新安银行递交的为响应本项目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文件内容而编制的文件。</w:t>
      </w:r>
    </w:p>
    <w:p w14:paraId="66E1F512">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p>
    <w:p w14:paraId="2207AAD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用以阐明所需服务内容、采购程序及评定中选单位的标准方法等事项。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w:t>
      </w:r>
      <w:r>
        <w:rPr>
          <w:rFonts w:hint="eastAsia" w:cs="宋体"/>
          <w:color w:val="auto"/>
          <w:sz w:val="21"/>
          <w:szCs w:val="21"/>
          <w:highlight w:val="none"/>
          <w:lang w:val="en-US" w:eastAsia="zh-CN"/>
        </w:rPr>
        <w:t>评审规则</w:t>
      </w:r>
      <w:r>
        <w:rPr>
          <w:rFonts w:hint="eastAsia" w:ascii="宋体" w:hAnsi="宋体" w:eastAsia="宋体" w:cs="宋体"/>
          <w:color w:val="auto"/>
          <w:sz w:val="21"/>
          <w:szCs w:val="21"/>
          <w:highlight w:val="none"/>
          <w:lang w:val="en-US" w:eastAsia="zh-CN"/>
        </w:rPr>
        <w:t>、项目需求</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投标文件格式及装订顺序</w:t>
      </w:r>
      <w:r>
        <w:rPr>
          <w:rFonts w:hint="eastAsia" w:cs="宋体"/>
          <w:color w:val="auto"/>
          <w:sz w:val="21"/>
          <w:szCs w:val="21"/>
          <w:highlight w:val="none"/>
          <w:lang w:val="en-US" w:eastAsia="zh-CN"/>
        </w:rPr>
        <w:t>、相关文件格式</w:t>
      </w:r>
      <w:r>
        <w:rPr>
          <w:rFonts w:hint="eastAsia" w:ascii="宋体" w:hAnsi="宋体" w:eastAsia="宋体" w:cs="宋体"/>
          <w:color w:val="auto"/>
          <w:sz w:val="21"/>
          <w:szCs w:val="21"/>
          <w:highlight w:val="none"/>
        </w:rPr>
        <w:t>等内容。</w:t>
      </w:r>
    </w:p>
    <w:p w14:paraId="45873057">
      <w:pPr>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的修改与补充</w:t>
      </w:r>
    </w:p>
    <w:p w14:paraId="2B6BA00B">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文件截止时间2个工作日前，</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有权修改或补充已发出的</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，但需以书面或电子邮件形式将</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的修改或补充内容通知所有领取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，修改或补充内容将构成</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的一部分。</w:t>
      </w:r>
    </w:p>
    <w:p w14:paraId="31CA8E85">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文件的编写</w:t>
      </w:r>
    </w:p>
    <w:p w14:paraId="4C78A564">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文件的组成</w:t>
      </w:r>
    </w:p>
    <w:p w14:paraId="2852EA2C">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五、六</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val="en-US" w:eastAsia="zh-CN"/>
        </w:rPr>
        <w:t>投标文件</w:t>
      </w:r>
      <w:r>
        <w:rPr>
          <w:rFonts w:hint="eastAsia" w:cs="宋体"/>
          <w:color w:val="auto"/>
          <w:sz w:val="21"/>
          <w:szCs w:val="21"/>
          <w:highlight w:val="none"/>
          <w:lang w:val="en-US" w:eastAsia="zh-CN"/>
        </w:rPr>
        <w:t>格式及</w:t>
      </w:r>
      <w:r>
        <w:rPr>
          <w:rFonts w:hint="eastAsia" w:ascii="宋体" w:hAnsi="宋体" w:eastAsia="宋体" w:cs="宋体"/>
          <w:color w:val="auto"/>
          <w:sz w:val="21"/>
          <w:szCs w:val="21"/>
          <w:highlight w:val="none"/>
          <w:lang w:val="en-US" w:eastAsia="zh-CN"/>
        </w:rPr>
        <w:t>装订顺序</w:t>
      </w:r>
      <w:r>
        <w:rPr>
          <w:rFonts w:hint="eastAsia"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相关文件格式</w:t>
      </w:r>
      <w:r>
        <w:rPr>
          <w:rFonts w:hint="eastAsia" w:ascii="宋体" w:hAnsi="宋体" w:eastAsia="宋体" w:cs="宋体"/>
          <w:color w:val="auto"/>
          <w:sz w:val="21"/>
          <w:szCs w:val="21"/>
          <w:highlight w:val="none"/>
        </w:rPr>
        <w:t>”。</w:t>
      </w:r>
    </w:p>
    <w:p w14:paraId="477395A0">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（二）装订要求</w:t>
      </w:r>
    </w:p>
    <w:p w14:paraId="511D2D27">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中规定的顺序装订</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文件，不得采用活页装订，否则否决其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报价表</w:t>
      </w:r>
      <w:r>
        <w:rPr>
          <w:rFonts w:hint="eastAsia" w:ascii="宋体" w:hAnsi="宋体" w:eastAsia="宋体" w:cs="宋体"/>
          <w:color w:val="auto"/>
          <w:sz w:val="21"/>
          <w:szCs w:val="21"/>
          <w:highlight w:val="none"/>
          <w:lang w:val="en-US" w:eastAsia="zh-CN"/>
        </w:rPr>
        <w:t>应附于投标文件内。</w:t>
      </w:r>
    </w:p>
    <w:p w14:paraId="2B47AA8C">
      <w:pPr>
        <w:ind w:firstLine="415" w:firstLineChars="19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（三）报价</w:t>
      </w:r>
    </w:p>
    <w:p w14:paraId="47EDB69A">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1、报价总则</w:t>
      </w:r>
    </w:p>
    <w:p w14:paraId="4555C5E9">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报价时投标人须综合考虑各种费用，包括但不限于：</w:t>
      </w:r>
    </w:p>
    <w:p w14:paraId="2190CA98">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（1）产品费用；</w:t>
      </w:r>
    </w:p>
    <w:p w14:paraId="1DC68097">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（2）物流运输费用；</w:t>
      </w:r>
    </w:p>
    <w:p w14:paraId="109C54CB">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（3）实施费用；</w:t>
      </w:r>
    </w:p>
    <w:p w14:paraId="4C1593A2">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（4）人工费用；</w:t>
      </w:r>
    </w:p>
    <w:p w14:paraId="38F15D7A">
      <w:pPr>
        <w:ind w:firstLine="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配套</w:t>
      </w:r>
      <w:r>
        <w:rPr>
          <w:rFonts w:hint="eastAsia" w:ascii="宋体" w:hAnsi="宋体" w:eastAsia="宋体" w:cs="宋体"/>
          <w:color w:val="auto"/>
          <w:sz w:val="21"/>
          <w:szCs w:val="21"/>
          <w:highlight w:val="none"/>
          <w:lang w:val="en-US" w:eastAsia="zh-CN"/>
        </w:rPr>
        <w:t>辅材费用</w:t>
      </w:r>
    </w:p>
    <w:p w14:paraId="681BEF02">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）其他确保产品顺利交付可能产生的</w:t>
      </w:r>
      <w:r>
        <w:rPr>
          <w:rFonts w:hint="eastAsia" w:cs="宋体"/>
          <w:color w:val="auto"/>
          <w:sz w:val="21"/>
          <w:szCs w:val="21"/>
          <w:highlight w:val="none"/>
          <w:lang w:val="en-US" w:eastAsia="zh-CN"/>
        </w:rPr>
        <w:t>所有</w:t>
      </w:r>
      <w:r>
        <w:rPr>
          <w:rFonts w:hint="eastAsia" w:ascii="宋体" w:hAnsi="宋体" w:eastAsia="宋体" w:cs="宋体"/>
          <w:color w:val="auto"/>
          <w:sz w:val="21"/>
          <w:szCs w:val="21"/>
          <w:highlight w:val="none"/>
          <w:lang w:val="en-US" w:eastAsia="zh-CN"/>
        </w:rPr>
        <w:t>费用。</w:t>
      </w:r>
    </w:p>
    <w:p w14:paraId="4AF9D074">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投标人须按本文件指定格式正确填写各种价格项；</w:t>
      </w:r>
    </w:p>
    <w:p w14:paraId="558163CC">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（1）价格项中相应内容的报价必须计算正确(如：单价与总价）；</w:t>
      </w:r>
    </w:p>
    <w:p w14:paraId="4A486245">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（2）每项目的报价必须是唯一的。如出现不唯一报价，以低价为准，如因此影响项目结果，视为无效；</w:t>
      </w:r>
    </w:p>
    <w:p w14:paraId="3D659F9F">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（3）报价项中如出现数字0或空白，视报价为零，即免费；</w:t>
      </w:r>
    </w:p>
    <w:p w14:paraId="68B1DB12">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（4）所有报价均应包含国家规定的所有税费及相应税率。</w:t>
      </w:r>
    </w:p>
    <w:p w14:paraId="735A6E1E">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2、项目总报价</w:t>
      </w:r>
    </w:p>
    <w:p w14:paraId="51920129">
      <w:pPr>
        <w:ind w:firstLine="60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2.1 项目预算应涵盖实现本项目所有需求的费用；</w:t>
      </w:r>
    </w:p>
    <w:p w14:paraId="6590850D">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 项目总报价应涵盖实现本项目所有需求的费用；</w:t>
      </w:r>
    </w:p>
    <w:p w14:paraId="7CCC2592">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 项目总报价之外不允许新增费用；</w:t>
      </w:r>
    </w:p>
    <w:p w14:paraId="53B2F472">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 如项目总报价与明细报价的汇总存在差异时，以低价为准；</w:t>
      </w:r>
    </w:p>
    <w:p w14:paraId="6D932C08">
      <w:pPr>
        <w:keepNext w:val="0"/>
        <w:keepLines w:val="0"/>
        <w:widowControl/>
        <w:suppressLineNumbers w:val="0"/>
        <w:ind w:firstLine="6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kern w:val="2"/>
          <w:sz w:val="21"/>
          <w:szCs w:val="21"/>
          <w:highlight w:val="none"/>
          <w:lang w:val="en-US" w:eastAsia="zh-CN" w:bidi="ar"/>
        </w:rPr>
        <w:t>投标人的投标报价不得超过项目预算价格。</w:t>
      </w:r>
    </w:p>
    <w:p w14:paraId="342B804E">
      <w:pPr>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（四）报价文件的签署及规定</w:t>
      </w:r>
    </w:p>
    <w:p w14:paraId="311A3E72">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1.报价文件中企业证件及资格证书等复印件均应加盖</w:t>
      </w:r>
      <w:r>
        <w:rPr>
          <w:rFonts w:hint="eastAsia" w:cs="宋体"/>
          <w:color w:val="auto"/>
          <w:sz w:val="21"/>
          <w:szCs w:val="21"/>
          <w:highlight w:val="none"/>
          <w:lang w:val="en-US" w:eastAsia="zh-CN"/>
        </w:rPr>
        <w:t>单位</w:t>
      </w:r>
      <w:r>
        <w:rPr>
          <w:rFonts w:hint="eastAsia" w:ascii="宋体" w:hAnsi="宋体" w:eastAsia="宋体" w:cs="宋体"/>
          <w:color w:val="auto"/>
          <w:sz w:val="21"/>
          <w:szCs w:val="21"/>
          <w:highlight w:val="none"/>
        </w:rPr>
        <w:t>公章。</w:t>
      </w:r>
    </w:p>
    <w:p w14:paraId="3A29F53B">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2.报价文件不得有加行、涂抹或改写。</w:t>
      </w:r>
    </w:p>
    <w:p w14:paraId="7EC4CC85">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 xml:space="preserve">知识产权 </w:t>
      </w:r>
    </w:p>
    <w:p w14:paraId="0B807A08">
      <w:pPr>
        <w:ind w:firstLine="600"/>
        <w:rPr>
          <w:rFonts w:hint="eastAsia"/>
          <w:color w:val="auto"/>
          <w:highlight w:val="none"/>
        </w:rPr>
      </w:pPr>
      <w:r>
        <w:rPr>
          <w:rFonts w:hint="eastAsia" w:ascii="宋体" w:hAnsi="宋体" w:eastAsia="宋体" w:cs="宋体"/>
          <w:color w:val="auto"/>
          <w:sz w:val="21"/>
          <w:szCs w:val="21"/>
          <w:highlight w:val="none"/>
          <w:lang w:val="en-US" w:eastAsia="zh-CN"/>
        </w:rPr>
        <w:t>投标人须保证招标人在中华人民共和国境内使用投标</w:t>
      </w:r>
      <w:r>
        <w:rPr>
          <w:rFonts w:hint="eastAsia"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14:paraId="082EE585">
      <w:pPr>
        <w:ind w:firstLine="420" w:firstLineChars="200"/>
        <w:outlineLvl w:val="9"/>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五</w:t>
      </w:r>
      <w:r>
        <w:rPr>
          <w:rFonts w:hint="eastAsia" w:ascii="宋体" w:hAnsi="宋体" w:eastAsia="宋体" w:cs="宋体"/>
          <w:color w:val="auto"/>
          <w:sz w:val="21"/>
          <w:szCs w:val="21"/>
          <w:highlight w:val="none"/>
        </w:rPr>
        <w:t>、报价文件的递交</w:t>
      </w:r>
    </w:p>
    <w:p w14:paraId="7E621348">
      <w:pPr>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（一）密封和标记</w:t>
      </w:r>
    </w:p>
    <w:p w14:paraId="7ED67D02">
      <w:pPr>
        <w:ind w:firstLine="6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应按本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要求编制报价文件</w:t>
      </w:r>
      <w:r>
        <w:rPr>
          <w:rFonts w:hint="eastAsia" w:ascii="宋体" w:hAnsi="宋体" w:eastAsia="宋体" w:cs="宋体"/>
          <w:b w:val="0"/>
          <w:bCs w:val="0"/>
          <w:color w:val="auto"/>
          <w:sz w:val="21"/>
          <w:szCs w:val="21"/>
          <w:highlight w:val="none"/>
        </w:rPr>
        <w:t>，报价文件一式</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份（正本一份、副本</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份，封面标明正、副本字样），正本与副本不一致，以正本为准。</w:t>
      </w:r>
    </w:p>
    <w:p w14:paraId="19A7E45C">
      <w:pPr>
        <w:ind w:firstLine="6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1.报价文件正本和副本应密封在一个非透明的封袋中。</w:t>
      </w:r>
    </w:p>
    <w:p w14:paraId="683D0F58">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2.密封袋外包封上应写明：</w:t>
      </w:r>
    </w:p>
    <w:p w14:paraId="7A86CDC3">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cs="宋体"/>
          <w:color w:val="auto"/>
          <w:sz w:val="21"/>
          <w:szCs w:val="21"/>
          <w:highlight w:val="none"/>
          <w:lang w:val="en-US" w:eastAsia="zh-CN"/>
        </w:rPr>
        <w:t>安徽</w:t>
      </w:r>
      <w:r>
        <w:rPr>
          <w:rFonts w:hint="eastAsia"/>
          <w:color w:val="auto"/>
          <w:highlight w:val="none"/>
          <w:lang w:val="en-US" w:eastAsia="zh-CN"/>
        </w:rPr>
        <w:t>新安银行零信任设备采购项目</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p>
    <w:p w14:paraId="4B5BAFF2">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（2）公司名称（加盖单位公章）；</w:t>
      </w:r>
    </w:p>
    <w:p w14:paraId="3EFB28C0">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（3）联系人及联系方式。</w:t>
      </w:r>
    </w:p>
    <w:p w14:paraId="4EBBE4CC">
      <w:pPr>
        <w:ind w:firstLine="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cs="宋体"/>
          <w:strike w:val="0"/>
          <w:dstrike w:val="0"/>
          <w:color w:val="auto"/>
          <w:sz w:val="21"/>
          <w:szCs w:val="21"/>
          <w:highlight w:val="none"/>
          <w:lang w:val="en-US" w:eastAsia="zh-CN"/>
        </w:rPr>
        <w:t>报价表</w:t>
      </w:r>
      <w:r>
        <w:rPr>
          <w:rFonts w:hint="eastAsia" w:ascii="宋体" w:hAnsi="宋体" w:eastAsia="宋体" w:cs="宋体"/>
          <w:color w:val="auto"/>
          <w:sz w:val="21"/>
          <w:szCs w:val="21"/>
          <w:highlight w:val="none"/>
          <w:lang w:val="en-US" w:eastAsia="zh-CN"/>
        </w:rPr>
        <w:t>应附于投标文件内。</w:t>
      </w:r>
    </w:p>
    <w:p w14:paraId="656111C5">
      <w:pPr>
        <w:keepNext w:val="0"/>
        <w:keepLines w:val="0"/>
        <w:pageBreakBefore w:val="0"/>
        <w:widowControl w:val="0"/>
        <w:kinsoku/>
        <w:wordWrap/>
        <w:overflowPunct/>
        <w:topLinePunct w:val="0"/>
        <w:autoSpaceDE/>
        <w:autoSpaceDN/>
        <w:bidi w:val="0"/>
        <w:adjustRightInd/>
        <w:snapToGrid/>
        <w:spacing w:line="360" w:lineRule="auto"/>
        <w:ind w:firstLine="415" w:firstLineChars="1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文件的报送</w:t>
      </w:r>
    </w:p>
    <w:p w14:paraId="70F19838">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规定的时间派人将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文件送至</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文件递交截止时间后送达的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将拒绝接收。</w:t>
      </w:r>
    </w:p>
    <w:p w14:paraId="75071436">
      <w:pPr>
        <w:ind w:firstLine="600"/>
        <w:rPr>
          <w:rFonts w:hint="eastAsia" w:ascii="宋体" w:hAnsi="宋体" w:eastAsia="宋体" w:cs="宋体"/>
          <w:strike/>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strike w:val="0"/>
          <w:dstrike w:val="0"/>
          <w:color w:val="auto"/>
          <w:sz w:val="21"/>
          <w:szCs w:val="21"/>
          <w:highlight w:val="none"/>
        </w:rPr>
        <w:t>文件有效期为60</w:t>
      </w:r>
      <w:r>
        <w:rPr>
          <w:rFonts w:hint="eastAsia" w:cs="宋体"/>
          <w:strike w:val="0"/>
          <w:dstrike w:val="0"/>
          <w:color w:val="auto"/>
          <w:sz w:val="21"/>
          <w:szCs w:val="21"/>
          <w:highlight w:val="none"/>
          <w:lang w:val="en-US" w:eastAsia="zh-CN"/>
        </w:rPr>
        <w:t>工作日</w:t>
      </w:r>
      <w:r>
        <w:rPr>
          <w:rFonts w:hint="eastAsia" w:ascii="宋体" w:hAnsi="宋体" w:eastAsia="宋体" w:cs="宋体"/>
          <w:strike w:val="0"/>
          <w:dstrike w:val="0"/>
          <w:color w:val="auto"/>
          <w:sz w:val="21"/>
          <w:szCs w:val="21"/>
          <w:highlight w:val="none"/>
        </w:rPr>
        <w:t>。</w:t>
      </w:r>
    </w:p>
    <w:p w14:paraId="0767B538">
      <w:pPr>
        <w:ind w:firstLine="420" w:firstLineChars="200"/>
        <w:outlineLvl w:val="9"/>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strike w:val="0"/>
          <w:dstrike w:val="0"/>
          <w:color w:val="auto"/>
          <w:sz w:val="21"/>
          <w:szCs w:val="21"/>
          <w:highlight w:val="none"/>
        </w:rPr>
        <w:t>、推荐成交候选人</w:t>
      </w:r>
    </w:p>
    <w:p w14:paraId="2529604C">
      <w:pPr>
        <w:ind w:firstLine="600"/>
        <w:rPr>
          <w:rFonts w:hint="eastAsia" w:ascii="宋体" w:hAnsi="宋体" w:eastAsia="宋体" w:cs="宋体"/>
          <w:bCs/>
          <w:strike/>
          <w:dstrike w:val="0"/>
          <w:color w:val="auto"/>
          <w:sz w:val="21"/>
          <w:szCs w:val="21"/>
          <w:highlight w:val="none"/>
          <w:lang w:eastAsia="zh-CN"/>
        </w:rPr>
      </w:pPr>
      <w:r>
        <w:rPr>
          <w:rFonts w:hint="eastAsia" w:ascii="宋体" w:hAnsi="宋体" w:eastAsia="宋体" w:cs="宋体"/>
          <w:bCs/>
          <w:strike w:val="0"/>
          <w:dstrike w:val="0"/>
          <w:color w:val="auto"/>
          <w:sz w:val="21"/>
          <w:szCs w:val="21"/>
          <w:highlight w:val="none"/>
          <w:lang w:eastAsia="zh-CN"/>
        </w:rPr>
        <w:t>招标人</w:t>
      </w:r>
      <w:r>
        <w:rPr>
          <w:rFonts w:hint="eastAsia" w:ascii="宋体" w:hAnsi="宋体" w:eastAsia="宋体" w:cs="宋体"/>
          <w:bCs/>
          <w:strike w:val="0"/>
          <w:dstrike w:val="0"/>
          <w:color w:val="auto"/>
          <w:sz w:val="21"/>
          <w:szCs w:val="21"/>
          <w:highlight w:val="none"/>
        </w:rPr>
        <w:t>根据本项目特点组建</w:t>
      </w:r>
      <w:r>
        <w:rPr>
          <w:rFonts w:hint="eastAsia" w:ascii="宋体" w:hAnsi="宋体" w:eastAsia="宋体" w:cs="宋体"/>
          <w:bCs/>
          <w:strike w:val="0"/>
          <w:dstrike w:val="0"/>
          <w:color w:val="auto"/>
          <w:sz w:val="21"/>
          <w:szCs w:val="21"/>
          <w:highlight w:val="none"/>
          <w:lang w:val="en-US" w:eastAsia="zh-CN"/>
        </w:rPr>
        <w:t>采购评审</w:t>
      </w:r>
      <w:r>
        <w:rPr>
          <w:rFonts w:hint="eastAsia" w:ascii="宋体" w:hAnsi="宋体" w:eastAsia="宋体" w:cs="宋体"/>
          <w:bCs/>
          <w:strike w:val="0"/>
          <w:dstrike w:val="0"/>
          <w:color w:val="auto"/>
          <w:sz w:val="21"/>
          <w:szCs w:val="21"/>
          <w:highlight w:val="none"/>
        </w:rPr>
        <w:t>小组</w:t>
      </w:r>
      <w:r>
        <w:rPr>
          <w:rFonts w:hint="eastAsia" w:cs="宋体"/>
          <w:bCs/>
          <w:strike w:val="0"/>
          <w:dstrike w:val="0"/>
          <w:color w:val="auto"/>
          <w:sz w:val="21"/>
          <w:szCs w:val="21"/>
          <w:highlight w:val="none"/>
          <w:lang w:eastAsia="zh-CN"/>
        </w:rPr>
        <w:t>，</w:t>
      </w:r>
      <w:r>
        <w:rPr>
          <w:rFonts w:hint="eastAsia" w:cs="宋体"/>
          <w:bCs/>
          <w:strike w:val="0"/>
          <w:dstrike w:val="0"/>
          <w:color w:val="auto"/>
          <w:sz w:val="21"/>
          <w:szCs w:val="21"/>
          <w:highlight w:val="none"/>
          <w:lang w:val="en-US" w:eastAsia="zh-CN"/>
        </w:rPr>
        <w:t>对</w:t>
      </w:r>
      <w:r>
        <w:rPr>
          <w:rFonts w:hint="eastAsia" w:cs="宋体"/>
          <w:b w:val="0"/>
          <w:bCs/>
          <w:strike w:val="0"/>
          <w:dstrike w:val="0"/>
          <w:color w:val="auto"/>
          <w:sz w:val="21"/>
          <w:szCs w:val="21"/>
          <w:highlight w:val="none"/>
          <w:lang w:val="en-US" w:eastAsia="zh-CN"/>
        </w:rPr>
        <w:t>初审合格的投</w:t>
      </w:r>
      <w:r>
        <w:rPr>
          <w:rFonts w:hint="eastAsia" w:cs="宋体"/>
          <w:bCs/>
          <w:strike w:val="0"/>
          <w:dstrike w:val="0"/>
          <w:color w:val="auto"/>
          <w:sz w:val="21"/>
          <w:szCs w:val="21"/>
          <w:highlight w:val="none"/>
          <w:lang w:val="en-US" w:eastAsia="zh-CN"/>
        </w:rPr>
        <w:t>标人进行评审，评审出候选人</w:t>
      </w:r>
      <w:r>
        <w:rPr>
          <w:rFonts w:hint="eastAsia" w:cs="宋体"/>
          <w:bCs/>
          <w:strike w:val="0"/>
          <w:dstrike w:val="0"/>
          <w:color w:val="auto"/>
          <w:sz w:val="21"/>
          <w:szCs w:val="21"/>
          <w:highlight w:val="none"/>
          <w:lang w:eastAsia="zh-CN"/>
        </w:rPr>
        <w:t>。</w:t>
      </w:r>
    </w:p>
    <w:p w14:paraId="76A9D8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、确定成交人</w:t>
      </w:r>
    </w:p>
    <w:p w14:paraId="625CF834">
      <w:pPr>
        <w:ind w:firstLine="6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1.确定成交人原则。本次</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遵循“公开、公平、公正、择优”的原则，</w:t>
      </w:r>
      <w:r>
        <w:rPr>
          <w:rFonts w:hint="eastAsia" w:ascii="宋体" w:hAnsi="宋体" w:eastAsia="宋体" w:cs="宋体"/>
          <w:b w:val="0"/>
          <w:bCs w:val="0"/>
          <w:color w:val="auto"/>
          <w:sz w:val="21"/>
          <w:szCs w:val="21"/>
          <w:highlight w:val="none"/>
        </w:rPr>
        <w:t>对</w:t>
      </w:r>
      <w:r>
        <w:rPr>
          <w:rFonts w:hint="eastAsia" w:cs="宋体"/>
          <w:b w:val="0"/>
          <w:bCs w:val="0"/>
          <w:strike w:val="0"/>
          <w:dstrike w:val="0"/>
          <w:color w:val="auto"/>
          <w:sz w:val="21"/>
          <w:szCs w:val="21"/>
          <w:highlight w:val="none"/>
          <w:lang w:val="en-US" w:eastAsia="zh-CN"/>
        </w:rPr>
        <w:t>初审合格的投标人</w:t>
      </w:r>
      <w:r>
        <w:rPr>
          <w:rFonts w:hint="eastAsia" w:ascii="宋体" w:hAnsi="宋体" w:eastAsia="宋体" w:cs="宋体"/>
          <w:b w:val="0"/>
          <w:bCs w:val="0"/>
          <w:color w:val="auto"/>
          <w:sz w:val="21"/>
          <w:szCs w:val="21"/>
          <w:highlight w:val="none"/>
        </w:rPr>
        <w:t>的评定，以相同的程序和方法严格按照</w:t>
      </w:r>
      <w:r>
        <w:rPr>
          <w:rFonts w:hint="eastAsia" w:ascii="宋体" w:hAnsi="宋体" w:eastAsia="宋体" w:cs="宋体"/>
          <w:b w:val="0"/>
          <w:bCs w:val="0"/>
          <w:color w:val="auto"/>
          <w:sz w:val="21"/>
          <w:szCs w:val="21"/>
          <w:highlight w:val="none"/>
          <w:lang w:val="en-US" w:eastAsia="zh-CN"/>
        </w:rPr>
        <w:t>招标</w:t>
      </w:r>
      <w:r>
        <w:rPr>
          <w:rFonts w:hint="eastAsia"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的要求进行。</w:t>
      </w:r>
    </w:p>
    <w:p w14:paraId="2CE7256D">
      <w:pPr>
        <w:ind w:firstLine="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2.确定成交人。</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rPr>
        <w:t>根据采购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小组推荐的候选人研究确定成交人，原则上应确定排名第一的候选人为成交人。如果排名在前的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人放弃中选资格</w:t>
      </w:r>
      <w:r>
        <w:rPr>
          <w:rFonts w:hint="eastAsia" w:cs="宋体"/>
          <w:color w:val="auto"/>
          <w:sz w:val="21"/>
          <w:szCs w:val="21"/>
          <w:highlight w:val="none"/>
          <w:lang w:eastAsia="zh-CN"/>
        </w:rPr>
        <w:t>，</w:t>
      </w:r>
      <w:r>
        <w:rPr>
          <w:rFonts w:hint="eastAsia" w:cs="宋体"/>
          <w:color w:val="auto"/>
          <w:sz w:val="21"/>
          <w:szCs w:val="21"/>
          <w:highlight w:val="none"/>
          <w:lang w:val="en-US" w:eastAsia="zh-CN"/>
        </w:rPr>
        <w:t>可</w:t>
      </w:r>
      <w:r>
        <w:rPr>
          <w:rFonts w:hint="eastAsia" w:ascii="宋体" w:hAnsi="宋体" w:eastAsia="宋体" w:cs="宋体"/>
          <w:color w:val="auto"/>
          <w:sz w:val="21"/>
          <w:szCs w:val="21"/>
          <w:highlight w:val="none"/>
        </w:rPr>
        <w:t>根据排名由后续候选人依次递补或重新采购。</w:t>
      </w:r>
    </w:p>
    <w:p w14:paraId="0890CDE3">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、中选通知</w:t>
      </w:r>
    </w:p>
    <w:p w14:paraId="7A993CE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确定中选供给方后，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签发</w:t>
      </w:r>
      <w:r>
        <w:rPr>
          <w:rFonts w:hint="eastAsia" w:cs="宋体"/>
          <w:color w:val="auto"/>
          <w:sz w:val="21"/>
          <w:szCs w:val="21"/>
          <w:highlight w:val="none"/>
          <w:lang w:eastAsia="zh-CN"/>
        </w:rPr>
        <w:t>“</w:t>
      </w:r>
      <w:r>
        <w:rPr>
          <w:rFonts w:hint="eastAsia" w:cs="宋体"/>
          <w:color w:val="auto"/>
          <w:sz w:val="21"/>
          <w:szCs w:val="21"/>
          <w:highlight w:val="none"/>
          <w:lang w:val="en-US" w:eastAsia="zh-CN"/>
        </w:rPr>
        <w:t>中标</w:t>
      </w:r>
      <w:r>
        <w:rPr>
          <w:rFonts w:hint="eastAsia" w:ascii="宋体" w:hAnsi="宋体" w:eastAsia="宋体" w:cs="宋体"/>
          <w:color w:val="auto"/>
          <w:sz w:val="21"/>
          <w:szCs w:val="21"/>
          <w:highlight w:val="none"/>
        </w:rPr>
        <w:t>通知书</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并通知中选单位。</w:t>
      </w:r>
    </w:p>
    <w:p w14:paraId="0779BDDD">
      <w:pPr>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合同签订与供货</w:t>
      </w:r>
    </w:p>
    <w:p w14:paraId="1736D5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定点投标人在接到定点中标通知后，应及时派授权代表到指定地点与招标人商谈签订合同，逾期按自动弃权处理。招标人有权另行选择其他投标人就本招标项目签订合同。签订合同时，招标人享有对采购的</w:t>
      </w:r>
      <w:r>
        <w:rPr>
          <w:rFonts w:hint="eastAsia"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配置和相关服务项目进行变更的权利。合同签订生效后中标单位应尽快完成招标需求的实施。</w:t>
      </w:r>
    </w:p>
    <w:p w14:paraId="1BD38022">
      <w:pPr>
        <w:pStyle w:val="3"/>
        <w:bidi w:val="0"/>
        <w:rPr>
          <w:rFonts w:hint="eastAsia"/>
          <w:color w:val="auto"/>
          <w:highlight w:val="none"/>
          <w:lang w:val="en-US" w:eastAsia="zh-CN"/>
        </w:rPr>
      </w:pPr>
      <w:bookmarkStart w:id="10" w:name="_Toc29291"/>
      <w:bookmarkStart w:id="11" w:name="_Toc14137"/>
      <w:bookmarkStart w:id="12" w:name="_Toc18055"/>
      <w:bookmarkStart w:id="13" w:name="_Toc29205"/>
      <w:bookmarkStart w:id="14" w:name="_Toc23886"/>
      <w:r>
        <w:rPr>
          <w:rFonts w:hint="eastAsia"/>
          <w:color w:val="auto"/>
          <w:highlight w:val="none"/>
          <w:lang w:val="en-US" w:eastAsia="zh-CN"/>
        </w:rPr>
        <w:t>第三部分 评审规则</w:t>
      </w:r>
      <w:bookmarkEnd w:id="10"/>
      <w:bookmarkEnd w:id="11"/>
      <w:bookmarkEnd w:id="12"/>
      <w:bookmarkEnd w:id="13"/>
      <w:bookmarkEnd w:id="14"/>
    </w:p>
    <w:p w14:paraId="10CAB1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一、评审方法</w:t>
      </w:r>
    </w:p>
    <w:p w14:paraId="34407D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本项目采用综合评分法进行评审。</w:t>
      </w:r>
    </w:p>
    <w:p w14:paraId="2E5E5E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1.采购评审小组仅对通过初步评审、实质性响应招标文件要求的投标人响应文件，依据评审因素及分值一览表开展综合评审。</w:t>
      </w:r>
    </w:p>
    <w:p w14:paraId="67AB8A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2.本项目总分100分，其中：报价分值占50分，商务技术分值（含业绩案例、企业实力、技术参数响应、市场占有率、</w:t>
      </w:r>
      <w:r>
        <w:rPr>
          <w:rFonts w:hint="eastAsia"/>
          <w:color w:val="auto"/>
          <w:highlight w:val="none"/>
          <w:lang w:val="en-US" w:eastAsia="zh-CN"/>
        </w:rPr>
        <w:t>服务方案、</w:t>
      </w:r>
      <w:r>
        <w:rPr>
          <w:rFonts w:hint="eastAsia"/>
          <w:color w:val="auto"/>
          <w:highlight w:val="none"/>
          <w:lang w:val="en-US" w:eastAsia="zh-CN"/>
        </w:rPr>
        <w:t>售后能力）占50分。</w:t>
      </w:r>
    </w:p>
    <w:p w14:paraId="031070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3.评分步骤如下：</w:t>
      </w:r>
    </w:p>
    <w:p w14:paraId="3DB4715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（1）报价分值</w:t>
      </w:r>
    </w:p>
    <w:p w14:paraId="4DAA5D92">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①确定评标价平均值</w:t>
      </w:r>
    </w:p>
    <w:p w14:paraId="3B6FDA09">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初步评审的</w:t>
      </w:r>
      <w:r>
        <w:rPr>
          <w:rFonts w:hint="eastAsia" w:ascii="宋体" w:hAnsi="宋体" w:eastAsia="宋体" w:cs="宋体"/>
          <w:b w:val="0"/>
          <w:bCs/>
          <w:i w:val="0"/>
          <w:iCs w:val="0"/>
          <w:color w:val="auto"/>
          <w:sz w:val="21"/>
          <w:szCs w:val="21"/>
          <w:highlight w:val="none"/>
          <w:lang w:val="en-US" w:eastAsia="zh-CN"/>
        </w:rPr>
        <w:t>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color w:val="auto"/>
          <w:sz w:val="21"/>
          <w:szCs w:val="21"/>
          <w:highlight w:val="none"/>
          <w:lang w:val="en-US" w:eastAsia="zh-CN"/>
        </w:rPr>
        <w:t>去掉一个最高价和一个最低价，取</w:t>
      </w:r>
      <w:r>
        <w:rPr>
          <w:rFonts w:hint="eastAsia" w:cs="宋体"/>
          <w:b w:val="0"/>
          <w:bCs/>
          <w:i w:val="0"/>
          <w:iCs w:val="0"/>
          <w:color w:val="auto"/>
          <w:sz w:val="21"/>
          <w:szCs w:val="21"/>
          <w:highlight w:val="none"/>
          <w:lang w:val="en-US" w:eastAsia="zh-CN"/>
        </w:rPr>
        <w:t>剩余</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w:t>
      </w:r>
    </w:p>
    <w:p w14:paraId="2D580FE6">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w:t>
      </w:r>
      <w:r>
        <w:rPr>
          <w:rFonts w:hint="eastAsia" w:ascii="宋体" w:hAnsi="宋体" w:eastAsia="宋体" w:cs="宋体"/>
          <w:b w:val="0"/>
          <w:bCs/>
          <w:i w:val="0"/>
          <w:iCs w:val="0"/>
          <w:strike w:val="0"/>
          <w:dstrike w:val="0"/>
          <w:color w:val="auto"/>
          <w:sz w:val="21"/>
          <w:szCs w:val="21"/>
          <w:highlight w:val="none"/>
          <w:lang w:val="en-US" w:eastAsia="zh-CN"/>
        </w:rPr>
        <w:t>初步评审</w:t>
      </w:r>
      <w:r>
        <w:rPr>
          <w:rFonts w:hint="eastAsia" w:ascii="宋体" w:hAnsi="宋体" w:eastAsia="宋体" w:cs="宋体"/>
          <w:b w:val="0"/>
          <w:bCs/>
          <w:i w:val="0"/>
          <w:iCs w:val="0"/>
          <w:color w:val="auto"/>
          <w:sz w:val="21"/>
          <w:szCs w:val="21"/>
          <w:highlight w:val="none"/>
          <w:lang w:val="en-US" w:eastAsia="zh-CN"/>
        </w:rPr>
        <w:t>的投标人数量＜5家时，</w:t>
      </w:r>
      <w:r>
        <w:rPr>
          <w:rFonts w:hint="eastAsia" w:ascii="宋体" w:hAnsi="宋体" w:eastAsia="宋体" w:cs="宋体"/>
          <w:b w:val="0"/>
          <w:bCs/>
          <w:i w:val="0"/>
          <w:iCs w:val="0"/>
          <w:strike w:val="0"/>
          <w:dstrike w:val="0"/>
          <w:color w:val="auto"/>
          <w:sz w:val="21"/>
          <w:szCs w:val="21"/>
          <w:highlight w:val="none"/>
          <w:lang w:val="en-US" w:eastAsia="zh-CN"/>
        </w:rPr>
        <w:t>则</w:t>
      </w:r>
      <w:r>
        <w:rPr>
          <w:rFonts w:hint="eastAsia" w:ascii="宋体" w:hAnsi="宋体" w:eastAsia="宋体" w:cs="宋体"/>
          <w:b w:val="0"/>
          <w:bCs/>
          <w:i w:val="0"/>
          <w:iCs w:val="0"/>
          <w:strike w:val="0"/>
          <w:color w:val="auto"/>
          <w:sz w:val="21"/>
          <w:szCs w:val="21"/>
          <w:highlight w:val="none"/>
          <w:lang w:val="en-US" w:eastAsia="zh-CN"/>
        </w:rPr>
        <w:t>直</w:t>
      </w:r>
      <w:r>
        <w:rPr>
          <w:rFonts w:hint="eastAsia" w:ascii="宋体" w:hAnsi="宋体" w:eastAsia="宋体" w:cs="宋体"/>
          <w:b w:val="0"/>
          <w:bCs/>
          <w:i w:val="0"/>
          <w:iCs w:val="0"/>
          <w:color w:val="auto"/>
          <w:sz w:val="21"/>
          <w:szCs w:val="21"/>
          <w:highlight w:val="none"/>
          <w:lang w:val="en-US" w:eastAsia="zh-CN"/>
        </w:rPr>
        <w:t>接取全部</w:t>
      </w:r>
      <w:r>
        <w:rPr>
          <w:rFonts w:hint="eastAsia" w:ascii="宋体" w:hAnsi="宋体" w:eastAsia="宋体" w:cs="宋体"/>
          <w:b w:val="0"/>
          <w:bCs/>
          <w:i w:val="0"/>
          <w:iCs w:val="0"/>
          <w:strike w:val="0"/>
          <w:dstrike w:val="0"/>
          <w:color w:val="auto"/>
          <w:sz w:val="21"/>
          <w:szCs w:val="21"/>
          <w:highlight w:val="none"/>
          <w:lang w:val="en-US" w:eastAsia="zh-CN"/>
        </w:rPr>
        <w:t>最终</w:t>
      </w:r>
      <w:r>
        <w:rPr>
          <w:rFonts w:hint="eastAsia" w:ascii="宋体" w:hAnsi="宋体" w:eastAsia="宋体" w:cs="宋体"/>
          <w:b w:val="0"/>
          <w:bCs/>
          <w:i w:val="0"/>
          <w:iCs w:val="0"/>
          <w:color w:val="auto"/>
          <w:sz w:val="21"/>
          <w:szCs w:val="21"/>
          <w:highlight w:val="none"/>
          <w:lang w:val="en-US" w:eastAsia="zh-CN"/>
        </w:rPr>
        <w:t>投标报价进行算术平均</w:t>
      </w:r>
      <w:r>
        <w:rPr>
          <w:rFonts w:hint="eastAsia" w:cs="宋体"/>
          <w:b w:val="0"/>
          <w:bCs/>
          <w:i w:val="0"/>
          <w:iCs w:val="0"/>
          <w:color w:val="auto"/>
          <w:sz w:val="21"/>
          <w:szCs w:val="21"/>
          <w:highlight w:val="none"/>
          <w:lang w:val="en-US" w:eastAsia="zh-CN"/>
        </w:rPr>
        <w:t>，得出评标价平均值</w:t>
      </w:r>
      <w:r>
        <w:rPr>
          <w:rFonts w:hint="eastAsia" w:ascii="宋体" w:hAnsi="宋体" w:eastAsia="宋体" w:cs="宋体"/>
          <w:b w:val="0"/>
          <w:bCs/>
          <w:i w:val="0"/>
          <w:iCs w:val="0"/>
          <w:color w:val="auto"/>
          <w:sz w:val="21"/>
          <w:szCs w:val="21"/>
          <w:highlight w:val="none"/>
          <w:lang w:val="en-US" w:eastAsia="zh-CN"/>
        </w:rPr>
        <w:t>。</w:t>
      </w:r>
    </w:p>
    <w:p w14:paraId="7A902D98">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 xml:space="preserve"> ②确定评标基准价</w:t>
      </w:r>
    </w:p>
    <w:p w14:paraId="2BD77912">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评标基准价=评标价平均值</w:t>
      </w:r>
    </w:p>
    <w:p w14:paraId="5BDD1038">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在评标过程中，评标委员会应对评标基准价进行复核，存在计算误的应予以修正并在评标报告中作出说明。除此之外，评标基准价在整个评标期间保持不变，不随任何因素发生变化。</w:t>
      </w:r>
    </w:p>
    <w:p w14:paraId="48442CA6">
      <w:pPr>
        <w:ind w:firstLine="600"/>
        <w:rPr>
          <w:rFonts w:hint="default"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③</w:t>
      </w:r>
      <w:r>
        <w:rPr>
          <w:rFonts w:hint="eastAsia" w:cs="宋体"/>
          <w:b w:val="0"/>
          <w:bCs/>
          <w:i w:val="0"/>
          <w:iCs w:val="0"/>
          <w:color w:val="auto"/>
          <w:sz w:val="21"/>
          <w:szCs w:val="21"/>
          <w:highlight w:val="none"/>
          <w:lang w:val="en-US" w:eastAsia="zh-CN"/>
        </w:rPr>
        <w:t>报价</w:t>
      </w:r>
      <w:r>
        <w:rPr>
          <w:rFonts w:hint="eastAsia" w:ascii="宋体" w:hAnsi="宋体" w:eastAsia="宋体" w:cs="宋体"/>
          <w:b w:val="0"/>
          <w:bCs/>
          <w:i w:val="0"/>
          <w:iCs w:val="0"/>
          <w:color w:val="auto"/>
          <w:sz w:val="21"/>
          <w:szCs w:val="21"/>
          <w:highlight w:val="none"/>
          <w:lang w:val="en-US" w:eastAsia="zh-CN"/>
        </w:rPr>
        <w:t>得分计算</w:t>
      </w:r>
      <w:r>
        <w:rPr>
          <w:rFonts w:hint="eastAsia" w:cs="宋体"/>
          <w:b w:val="0"/>
          <w:bCs/>
          <w:i w:val="0"/>
          <w:iCs w:val="0"/>
          <w:color w:val="auto"/>
          <w:sz w:val="21"/>
          <w:szCs w:val="21"/>
          <w:highlight w:val="none"/>
          <w:lang w:val="en-US" w:eastAsia="zh-CN"/>
        </w:rPr>
        <w:t>规则</w:t>
      </w:r>
    </w:p>
    <w:p w14:paraId="0E2D76B0">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（A）投标人评标价=评标基准价时，得满分</w:t>
      </w:r>
      <w:r>
        <w:rPr>
          <w:rFonts w:hint="eastAsia" w:cs="宋体"/>
          <w:b w:val="0"/>
          <w:bCs/>
          <w:i w:val="0"/>
          <w:iCs w:val="0"/>
          <w:color w:val="auto"/>
          <w:sz w:val="21"/>
          <w:szCs w:val="21"/>
          <w:highlight w:val="none"/>
          <w:lang w:val="en-US" w:eastAsia="zh-CN"/>
        </w:rPr>
        <w:t>5</w:t>
      </w:r>
      <w:r>
        <w:rPr>
          <w:rFonts w:hint="eastAsia" w:hAnsi="宋体" w:cs="宋体"/>
          <w:b w:val="0"/>
          <w:bCs/>
          <w:i w:val="0"/>
          <w:iCs w:val="0"/>
          <w:color w:val="auto"/>
          <w:sz w:val="21"/>
          <w:szCs w:val="21"/>
          <w:highlight w:val="none"/>
          <w:lang w:val="en-US" w:eastAsia="zh-CN"/>
        </w:rPr>
        <w:t>0</w:t>
      </w:r>
      <w:r>
        <w:rPr>
          <w:rFonts w:hint="eastAsia" w:ascii="宋体" w:hAnsi="宋体" w:eastAsia="宋体" w:cs="宋体"/>
          <w:b w:val="0"/>
          <w:bCs/>
          <w:i w:val="0"/>
          <w:iCs w:val="0"/>
          <w:color w:val="auto"/>
          <w:sz w:val="21"/>
          <w:szCs w:val="21"/>
          <w:highlight w:val="none"/>
          <w:lang w:val="en-US" w:eastAsia="zh-CN"/>
        </w:rPr>
        <w:t>分；</w:t>
      </w:r>
    </w:p>
    <w:p w14:paraId="4BEAA1CB">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（B）投标人评标价≥评标基准价时，得分=</w:t>
      </w:r>
      <w:r>
        <w:rPr>
          <w:rFonts w:hint="eastAsia" w:cs="宋体"/>
          <w:b w:val="0"/>
          <w:bCs/>
          <w:i w:val="0"/>
          <w:iCs w:val="0"/>
          <w:color w:val="auto"/>
          <w:sz w:val="21"/>
          <w:szCs w:val="21"/>
          <w:highlight w:val="none"/>
          <w:lang w:val="en-US" w:eastAsia="zh-CN"/>
        </w:rPr>
        <w:t>5</w:t>
      </w:r>
      <w:r>
        <w:rPr>
          <w:rFonts w:hint="eastAsia" w:hAnsi="宋体" w:cs="宋体"/>
          <w:b w:val="0"/>
          <w:bCs/>
          <w:i w:val="0"/>
          <w:iCs w:val="0"/>
          <w:color w:val="auto"/>
          <w:sz w:val="21"/>
          <w:szCs w:val="21"/>
          <w:highlight w:val="none"/>
          <w:lang w:val="en-US" w:eastAsia="zh-CN"/>
        </w:rPr>
        <w:t>0</w:t>
      </w:r>
      <w:r>
        <w:rPr>
          <w:rFonts w:hint="eastAsia" w:ascii="宋体" w:hAnsi="宋体" w:eastAsia="宋体" w:cs="宋体"/>
          <w:b w:val="0"/>
          <w:bCs/>
          <w:i w:val="0"/>
          <w:iCs w:val="0"/>
          <w:color w:val="auto"/>
          <w:sz w:val="21"/>
          <w:szCs w:val="21"/>
          <w:highlight w:val="none"/>
          <w:lang w:val="en-US" w:eastAsia="zh-CN"/>
        </w:rPr>
        <w:t>-[（</w:t>
      </w:r>
      <w:r>
        <w:rPr>
          <w:rFonts w:hint="eastAsia" w:cs="宋体"/>
          <w:b w:val="0"/>
          <w:bCs/>
          <w:i w:val="0"/>
          <w:iCs w:val="0"/>
          <w:color w:val="auto"/>
          <w:sz w:val="21"/>
          <w:szCs w:val="21"/>
          <w:highlight w:val="none"/>
          <w:lang w:val="en-US" w:eastAsia="zh-CN"/>
        </w:rPr>
        <w:t>投标人</w:t>
      </w:r>
      <w:r>
        <w:rPr>
          <w:rFonts w:hint="eastAsia" w:ascii="宋体" w:hAnsi="宋体" w:eastAsia="宋体" w:cs="宋体"/>
          <w:b w:val="0"/>
          <w:bCs/>
          <w:i w:val="0"/>
          <w:iCs w:val="0"/>
          <w:color w:val="auto"/>
          <w:sz w:val="21"/>
          <w:szCs w:val="21"/>
          <w:highlight w:val="none"/>
          <w:lang w:val="en-US" w:eastAsia="zh-CN"/>
        </w:rPr>
        <w:t>评标价-评标基准价）/评标基准价]*100*0.5；</w:t>
      </w:r>
    </w:p>
    <w:p w14:paraId="59E0E461">
      <w:pPr>
        <w:ind w:firstLine="60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（C）投标人评标价＜评标基准价时，得分=</w:t>
      </w:r>
      <w:r>
        <w:rPr>
          <w:rFonts w:hint="eastAsia" w:cs="宋体"/>
          <w:b w:val="0"/>
          <w:bCs/>
          <w:i w:val="0"/>
          <w:iCs w:val="0"/>
          <w:color w:val="auto"/>
          <w:sz w:val="21"/>
          <w:szCs w:val="21"/>
          <w:highlight w:val="none"/>
          <w:lang w:val="en-US" w:eastAsia="zh-CN"/>
        </w:rPr>
        <w:t>5</w:t>
      </w:r>
      <w:r>
        <w:rPr>
          <w:rFonts w:hint="eastAsia" w:ascii="宋体" w:hAnsi="宋体" w:eastAsia="宋体" w:cs="宋体"/>
          <w:b w:val="0"/>
          <w:bCs/>
          <w:i w:val="0"/>
          <w:iCs w:val="0"/>
          <w:color w:val="auto"/>
          <w:sz w:val="21"/>
          <w:szCs w:val="21"/>
          <w:highlight w:val="none"/>
          <w:lang w:val="en-US" w:eastAsia="zh-CN"/>
        </w:rPr>
        <w:t>0-[（评标基准价-投标人评标价）/评标基准价]*100*0.3。</w:t>
      </w:r>
    </w:p>
    <w:p w14:paraId="78C69173">
      <w:pPr>
        <w:ind w:firstLine="600"/>
        <w:rPr>
          <w:rFonts w:hint="eastAsia"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当报价得分为</w:t>
      </w:r>
      <w:r>
        <w:rPr>
          <w:rFonts w:hint="eastAsia" w:cs="宋体"/>
          <w:b w:val="0"/>
          <w:bCs/>
          <w:i w:val="0"/>
          <w:iCs w:val="0"/>
          <w:color w:val="auto"/>
          <w:sz w:val="21"/>
          <w:szCs w:val="21"/>
          <w:highlight w:val="none"/>
          <w:lang w:val="en-US" w:eastAsia="zh-CN"/>
        </w:rPr>
        <w:t>负数</w:t>
      </w:r>
      <w:r>
        <w:rPr>
          <w:rFonts w:hint="eastAsia" w:ascii="宋体" w:hAnsi="宋体" w:eastAsia="宋体" w:cs="宋体"/>
          <w:b w:val="0"/>
          <w:bCs/>
          <w:i w:val="0"/>
          <w:iCs w:val="0"/>
          <w:color w:val="auto"/>
          <w:sz w:val="21"/>
          <w:szCs w:val="21"/>
          <w:highlight w:val="none"/>
          <w:lang w:val="en-US" w:eastAsia="zh-CN"/>
        </w:rPr>
        <w:t>时，均按0分计算</w:t>
      </w:r>
      <w:r>
        <w:rPr>
          <w:rFonts w:hint="eastAsia" w:cs="宋体"/>
          <w:b w:val="0"/>
          <w:bCs/>
          <w:i w:val="0"/>
          <w:iCs w:val="0"/>
          <w:color w:val="auto"/>
          <w:sz w:val="21"/>
          <w:szCs w:val="21"/>
          <w:highlight w:val="none"/>
          <w:lang w:val="en-US" w:eastAsia="zh-CN"/>
        </w:rPr>
        <w:t>；</w:t>
      </w:r>
    </w:p>
    <w:p w14:paraId="2077A4CF">
      <w:pPr>
        <w:ind w:firstLine="600"/>
        <w:rPr>
          <w:rFonts w:hint="eastAsia"/>
          <w:color w:val="auto"/>
          <w:highlight w:val="none"/>
          <w:lang w:val="en-US" w:eastAsia="zh-CN"/>
        </w:rPr>
      </w:pPr>
      <w:r>
        <w:rPr>
          <w:rFonts w:hint="eastAsia" w:cs="宋体"/>
          <w:b w:val="0"/>
          <w:bCs/>
          <w:i w:val="0"/>
          <w:iCs w:val="0"/>
          <w:color w:val="auto"/>
          <w:sz w:val="21"/>
          <w:szCs w:val="21"/>
          <w:highlight w:val="none"/>
          <w:lang w:val="en-US" w:eastAsia="zh-CN"/>
        </w:rPr>
        <w:t>投标人</w:t>
      </w:r>
      <w:r>
        <w:rPr>
          <w:rFonts w:hint="eastAsia" w:ascii="宋体" w:hAnsi="宋体" w:eastAsia="宋体" w:cs="宋体"/>
          <w:b w:val="0"/>
          <w:bCs/>
          <w:i w:val="0"/>
          <w:iCs w:val="0"/>
          <w:color w:val="auto"/>
          <w:sz w:val="21"/>
          <w:szCs w:val="21"/>
          <w:highlight w:val="none"/>
          <w:lang w:val="en-US" w:eastAsia="zh-CN"/>
        </w:rPr>
        <w:t>评标价得分保留小数点后两位，小数点后第三位“四舍五入”，即为*.**。</w:t>
      </w:r>
    </w:p>
    <w:p w14:paraId="5C9A679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（2）其他分值</w:t>
      </w:r>
    </w:p>
    <w:p w14:paraId="1CED5E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根据评分因素，采购评审小组对进入综合评审的所有投标人进行评分，并分别填写综合评审表。</w:t>
      </w:r>
    </w:p>
    <w:p w14:paraId="5B63CC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将业绩案例、企业实力、技术参数响应、市场占有率、</w:t>
      </w:r>
      <w:r>
        <w:rPr>
          <w:rFonts w:hint="eastAsia"/>
          <w:color w:val="auto"/>
          <w:highlight w:val="none"/>
          <w:lang w:val="en-US" w:eastAsia="zh-CN"/>
        </w:rPr>
        <w:t>服务方案</w:t>
      </w:r>
      <w:r>
        <w:rPr>
          <w:rFonts w:hint="eastAsia"/>
          <w:color w:val="auto"/>
          <w:highlight w:val="none"/>
          <w:lang w:val="en-US" w:eastAsia="zh-CN"/>
        </w:rPr>
        <w:t>和售后能力的每项得分进行累计汇总分值。</w:t>
      </w:r>
    </w:p>
    <w:p w14:paraId="62E23F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（3）总分值计算</w:t>
      </w:r>
    </w:p>
    <w:p w14:paraId="2EA394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最后将报价分值和其他分值汇总累计后得到总分值。总分值相同时由评标委员会集体评议确定排名顺序。</w:t>
      </w:r>
      <w:r>
        <w:rPr>
          <w:rFonts w:hint="eastAsia"/>
          <w:color w:val="auto"/>
          <w:highlight w:val="none"/>
          <w:lang w:val="en-US" w:eastAsia="zh-CN"/>
        </w:rPr>
        <w:br w:type="page"/>
      </w:r>
      <w:r>
        <w:rPr>
          <w:rFonts w:hint="eastAsia"/>
          <w:color w:val="auto"/>
          <w:highlight w:val="none"/>
          <w:lang w:val="en-US" w:eastAsia="zh-CN"/>
        </w:rPr>
        <w:t>二、评审因素及分值一览表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00"/>
        <w:gridCol w:w="6308"/>
      </w:tblGrid>
      <w:tr w14:paraId="53BD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blHeader/>
          <w:jc w:val="center"/>
        </w:trPr>
        <w:tc>
          <w:tcPr>
            <w:tcW w:w="1508" w:type="dxa"/>
            <w:noWrap w:val="0"/>
            <w:vAlign w:val="center"/>
          </w:tcPr>
          <w:p w14:paraId="7E22FE0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评分因素</w:t>
            </w:r>
          </w:p>
        </w:tc>
        <w:tc>
          <w:tcPr>
            <w:tcW w:w="700" w:type="dxa"/>
            <w:noWrap w:val="0"/>
            <w:vAlign w:val="center"/>
          </w:tcPr>
          <w:p w14:paraId="1916FA7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c>
          <w:tcPr>
            <w:tcW w:w="6308" w:type="dxa"/>
            <w:noWrap w:val="0"/>
            <w:vAlign w:val="center"/>
          </w:tcPr>
          <w:p w14:paraId="6907FE8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w:t>
            </w:r>
          </w:p>
        </w:tc>
      </w:tr>
      <w:tr w14:paraId="40D5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8" w:type="dxa"/>
            <w:noWrap w:val="0"/>
            <w:vAlign w:val="center"/>
          </w:tcPr>
          <w:p w14:paraId="5808506D">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sz w:val="21"/>
                <w:szCs w:val="21"/>
                <w:highlight w:val="none"/>
              </w:rPr>
            </w:pPr>
            <w:r>
              <w:rPr>
                <w:rFonts w:hint="eastAsia" w:ascii="宋体" w:hAnsi="宋体" w:eastAsia="宋体" w:cs="宋体"/>
                <w:color w:val="auto"/>
                <w:sz w:val="21"/>
                <w:szCs w:val="21"/>
                <w:highlight w:val="none"/>
              </w:rPr>
              <w:t>报价</w:t>
            </w:r>
          </w:p>
        </w:tc>
        <w:tc>
          <w:tcPr>
            <w:tcW w:w="700" w:type="dxa"/>
            <w:noWrap w:val="0"/>
            <w:vAlign w:val="center"/>
          </w:tcPr>
          <w:p w14:paraId="004772B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sz w:val="21"/>
                <w:szCs w:val="21"/>
                <w:highlight w:val="none"/>
                <w:lang w:val="en-US" w:eastAsia="zh-CN"/>
              </w:rPr>
            </w:pPr>
            <w:r>
              <w:rPr>
                <w:rFonts w:hint="eastAsia" w:hAnsi="宋体" w:cs="宋体"/>
                <w:b w:val="0"/>
                <w:bCs/>
                <w:i w:val="0"/>
                <w:iCs w:val="0"/>
                <w:color w:val="auto"/>
                <w:sz w:val="21"/>
                <w:szCs w:val="21"/>
                <w:highlight w:val="none"/>
                <w:lang w:val="en-US" w:eastAsia="zh-CN"/>
              </w:rPr>
              <w:t>50</w:t>
            </w:r>
            <w:r>
              <w:rPr>
                <w:rFonts w:hint="eastAsia" w:ascii="宋体" w:hAnsi="宋体" w:eastAsia="宋体" w:cs="宋体"/>
                <w:b w:val="0"/>
                <w:bCs/>
                <w:i w:val="0"/>
                <w:iCs w:val="0"/>
                <w:color w:val="auto"/>
                <w:sz w:val="21"/>
                <w:szCs w:val="21"/>
                <w:highlight w:val="none"/>
                <w:lang w:val="en-US" w:eastAsia="zh-CN"/>
              </w:rPr>
              <w:t>分</w:t>
            </w:r>
          </w:p>
        </w:tc>
        <w:tc>
          <w:tcPr>
            <w:tcW w:w="6308" w:type="dxa"/>
            <w:noWrap w:val="0"/>
            <w:vAlign w:val="center"/>
          </w:tcPr>
          <w:p w14:paraId="1449C780">
            <w:pPr>
              <w:keepNext w:val="0"/>
              <w:keepLines w:val="0"/>
              <w:widowControl/>
              <w:numPr>
                <w:ilvl w:val="0"/>
                <w:numId w:val="1"/>
              </w:numPr>
              <w:suppressLineNumbers w:val="0"/>
              <w:adjustRightInd/>
              <w:snapToGrid/>
              <w:spacing w:before="0" w:beforeAutospacing="0" w:after="0" w:afterAutospacing="0" w:line="240" w:lineRule="auto"/>
              <w:ind w:left="0" w:right="0"/>
              <w:jc w:val="left"/>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t>确定评标价平均值</w:t>
            </w:r>
          </w:p>
          <w:p w14:paraId="258F3A4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当通过初步评审的投标人数量≥5家时，则去掉一个最高价和一个最低价，取剩余最终投标报价进行算术平均，得出评标价平均值；</w:t>
            </w:r>
          </w:p>
          <w:p w14:paraId="1F51BAC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当通过初步评审的投标人数量＜5家时，则直接取全部最终投标报价进行算术平均，得出评标价平均值。</w:t>
            </w:r>
          </w:p>
          <w:p w14:paraId="1A01EF4D">
            <w:pPr>
              <w:keepNext w:val="0"/>
              <w:keepLines w:val="0"/>
              <w:widowControl/>
              <w:numPr>
                <w:ilvl w:val="0"/>
                <w:numId w:val="1"/>
              </w:numPr>
              <w:suppressLineNumbers w:val="0"/>
              <w:adjustRightInd/>
              <w:snapToGrid/>
              <w:spacing w:before="0" w:beforeAutospacing="0" w:after="0" w:afterAutospacing="0" w:line="240" w:lineRule="auto"/>
              <w:ind w:left="0" w:right="0"/>
              <w:jc w:val="left"/>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t>确定评标基准价</w:t>
            </w:r>
          </w:p>
          <w:p w14:paraId="5EF6B5B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评标基准价=评标价平均值</w:t>
            </w:r>
          </w:p>
          <w:p w14:paraId="7612AB86">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在评标过程中，评标委员会应对评标基准价进行复核，存在计算误的应予以修正并在评标报告中作出说明。除此之外，评标基准价在整个评标期间保持不变，不随任何因素发生变化。</w:t>
            </w:r>
          </w:p>
          <w:p w14:paraId="4C01884B">
            <w:pPr>
              <w:keepNext w:val="0"/>
              <w:keepLines w:val="0"/>
              <w:widowControl/>
              <w:numPr>
                <w:ilvl w:val="0"/>
                <w:numId w:val="1"/>
              </w:numPr>
              <w:suppressLineNumbers w:val="0"/>
              <w:adjustRightInd/>
              <w:snapToGrid/>
              <w:spacing w:before="0" w:beforeAutospacing="0" w:after="0" w:afterAutospacing="0" w:line="240" w:lineRule="auto"/>
              <w:ind w:left="0" w:right="0"/>
              <w:jc w:val="left"/>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t>报价得分计算规则</w:t>
            </w:r>
          </w:p>
          <w:p w14:paraId="56BFC67E">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（A）投标人评标价=评标基准价时，得满分50分；</w:t>
            </w:r>
          </w:p>
          <w:p w14:paraId="746E0B22">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（B）投标人评标价≥评标基准价时，得分=50-[（投标人评标价-评标基准价）/评标基准价]*100*0.5；</w:t>
            </w:r>
          </w:p>
          <w:p w14:paraId="5891D4D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（C）投标人评标价＜评标基准价时，得分=50-[（评标基准价-投标人评标价）/评标基准价]*100*0.3。</w:t>
            </w:r>
          </w:p>
          <w:p w14:paraId="50DB73C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当报价得分为负数时，均按0分计算；</w:t>
            </w:r>
          </w:p>
          <w:p w14:paraId="1C78C6AA">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投标人评标价得分保留小数点后两位，小数点后第三位“四舍五入”，即为*.**。</w:t>
            </w:r>
          </w:p>
        </w:tc>
      </w:tr>
      <w:tr w14:paraId="03BE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508" w:type="dxa"/>
            <w:noWrap w:val="0"/>
            <w:vAlign w:val="center"/>
          </w:tcPr>
          <w:p w14:paraId="77CA2039">
            <w:pPr>
              <w:keepNext w:val="0"/>
              <w:keepLines w:val="0"/>
              <w:widowControl/>
              <w:suppressLineNumbers w:val="0"/>
              <w:adjustRightInd w:val="0"/>
              <w:snapToGrid w:val="0"/>
              <w:spacing w:before="0" w:beforeAutospacing="0" w:after="0" w:afterAutospacing="0" w:line="420" w:lineRule="exact"/>
              <w:ind w:left="0" w:right="0"/>
              <w:jc w:val="center"/>
              <w:rPr>
                <w:rFonts w:hint="default" w:ascii="宋体" w:hAnsi="宋体" w:eastAsia="宋体" w:cs="宋体"/>
                <w:b w:val="0"/>
                <w:bCs/>
                <w:i w:val="0"/>
                <w:iCs w:val="0"/>
                <w:color w:val="auto"/>
                <w:sz w:val="21"/>
                <w:szCs w:val="21"/>
                <w:highlight w:val="none"/>
                <w:lang w:val="en-US" w:eastAsia="zh-CN"/>
              </w:rPr>
            </w:pPr>
            <w:r>
              <w:rPr>
                <w:rFonts w:hint="eastAsia"/>
                <w:color w:val="auto"/>
                <w:highlight w:val="none"/>
                <w:lang w:val="en-US" w:eastAsia="zh-CN"/>
              </w:rPr>
              <w:t>业绩案例</w:t>
            </w:r>
          </w:p>
        </w:tc>
        <w:tc>
          <w:tcPr>
            <w:tcW w:w="700" w:type="dxa"/>
            <w:noWrap w:val="0"/>
            <w:vAlign w:val="center"/>
          </w:tcPr>
          <w:p w14:paraId="7E661B60">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8</w:t>
            </w:r>
            <w:r>
              <w:rPr>
                <w:rFonts w:hint="eastAsia" w:ascii="宋体" w:hAnsi="宋体" w:eastAsia="宋体" w:cs="宋体"/>
                <w:b w:val="0"/>
                <w:bCs/>
                <w:i w:val="0"/>
                <w:iCs w:val="0"/>
                <w:color w:val="auto"/>
                <w:sz w:val="21"/>
                <w:szCs w:val="21"/>
                <w:highlight w:val="none"/>
                <w:lang w:val="en-US" w:eastAsia="zh-CN"/>
              </w:rPr>
              <w:t>分</w:t>
            </w:r>
          </w:p>
        </w:tc>
        <w:tc>
          <w:tcPr>
            <w:tcW w:w="6308" w:type="dxa"/>
            <w:noWrap w:val="0"/>
            <w:vAlign w:val="center"/>
          </w:tcPr>
          <w:p w14:paraId="0B2B43B2">
            <w:pPr>
              <w:keepNext w:val="0"/>
              <w:keepLines w:val="0"/>
              <w:widowControl/>
              <w:numPr>
                <w:ilvl w:val="0"/>
                <w:numId w:val="2"/>
              </w:numPr>
              <w:suppressLineNumbers w:val="0"/>
              <w:adjustRightInd/>
              <w:snapToGrid/>
              <w:spacing w:before="0" w:beforeAutospacing="0" w:after="0" w:afterAutospacing="0" w:line="240" w:lineRule="auto"/>
              <w:ind w:left="0" w:right="0"/>
              <w:jc w:val="left"/>
              <w:rPr>
                <w:rFonts w:hint="default" w:ascii="宋体" w:hAnsi="宋体" w:eastAsia="宋体" w:cs="宋体"/>
                <w:strike w:val="0"/>
                <w:dstrike w:val="0"/>
                <w:color w:val="auto"/>
                <w:kern w:val="0"/>
                <w:sz w:val="21"/>
                <w:szCs w:val="21"/>
                <w:highlight w:val="none"/>
                <w:lang w:val="en-US" w:eastAsia="zh-CN" w:bidi="ar"/>
              </w:rPr>
            </w:pPr>
            <w:r>
              <w:rPr>
                <w:rFonts w:hint="default" w:ascii="宋体" w:hAnsi="宋体" w:eastAsia="宋体" w:cs="宋体"/>
                <w:strike w:val="0"/>
                <w:dstrike w:val="0"/>
                <w:color w:val="auto"/>
                <w:kern w:val="0"/>
                <w:sz w:val="21"/>
                <w:szCs w:val="21"/>
                <w:highlight w:val="none"/>
                <w:lang w:val="en-US" w:eastAsia="zh-CN" w:bidi="ar"/>
              </w:rPr>
              <w:t>投标人或所投品牌</w:t>
            </w:r>
            <w:r>
              <w:rPr>
                <w:rFonts w:hint="eastAsia" w:ascii="宋体" w:hAnsi="宋体" w:eastAsia="宋体" w:cs="宋体"/>
                <w:strike w:val="0"/>
                <w:dstrike w:val="0"/>
                <w:color w:val="auto"/>
                <w:kern w:val="0"/>
                <w:sz w:val="21"/>
                <w:szCs w:val="21"/>
                <w:highlight w:val="none"/>
                <w:lang w:val="en-US" w:eastAsia="zh-CN" w:bidi="ar"/>
              </w:rPr>
              <w:t>制造商</w:t>
            </w:r>
            <w:r>
              <w:rPr>
                <w:rFonts w:hint="default" w:ascii="宋体" w:hAnsi="宋体" w:eastAsia="宋体" w:cs="宋体"/>
                <w:strike w:val="0"/>
                <w:dstrike w:val="0"/>
                <w:color w:val="auto"/>
                <w:kern w:val="0"/>
                <w:sz w:val="21"/>
                <w:szCs w:val="21"/>
                <w:highlight w:val="none"/>
                <w:lang w:val="en-US" w:eastAsia="zh-CN" w:bidi="ar"/>
              </w:rPr>
              <w:t>近三年内（合同日期为2023年1月1日至今，以合同签订日期为准）具有零信任产品供货及项目实施业绩案例，每提供1个有效业绩案例得2分，满分</w:t>
            </w:r>
            <w:r>
              <w:rPr>
                <w:rFonts w:hint="eastAsia" w:cs="宋体"/>
                <w:strike w:val="0"/>
                <w:dstrike w:val="0"/>
                <w:color w:val="auto"/>
                <w:kern w:val="0"/>
                <w:sz w:val="21"/>
                <w:szCs w:val="21"/>
                <w:highlight w:val="none"/>
                <w:lang w:val="en-US" w:eastAsia="zh-CN" w:bidi="ar"/>
              </w:rPr>
              <w:t>8</w:t>
            </w:r>
            <w:r>
              <w:rPr>
                <w:rFonts w:hint="default" w:ascii="宋体" w:hAnsi="宋体" w:eastAsia="宋体" w:cs="宋体"/>
                <w:strike w:val="0"/>
                <w:dstrike w:val="0"/>
                <w:color w:val="auto"/>
                <w:kern w:val="0"/>
                <w:sz w:val="21"/>
                <w:szCs w:val="21"/>
                <w:highlight w:val="none"/>
                <w:lang w:val="en-US" w:eastAsia="zh-CN" w:bidi="ar"/>
              </w:rPr>
              <w:t>分</w:t>
            </w:r>
            <w:r>
              <w:rPr>
                <w:rFonts w:hint="default" w:ascii="宋体" w:hAnsi="宋体" w:eastAsia="宋体" w:cs="宋体"/>
                <w:strike w:val="0"/>
                <w:dstrike w:val="0"/>
                <w:color w:val="auto"/>
                <w:kern w:val="0"/>
                <w:sz w:val="21"/>
                <w:szCs w:val="21"/>
                <w:highlight w:val="none"/>
                <w:lang w:val="en-US" w:eastAsia="zh-CN" w:bidi="ar"/>
              </w:rPr>
              <w:t>。</w:t>
            </w:r>
          </w:p>
          <w:p w14:paraId="1072D5CE">
            <w:pPr>
              <w:keepNext w:val="0"/>
              <w:keepLines w:val="0"/>
              <w:widowControl/>
              <w:numPr>
                <w:ilvl w:val="0"/>
                <w:numId w:val="2"/>
              </w:numPr>
              <w:suppressLineNumbers w:val="0"/>
              <w:adjustRightInd/>
              <w:snapToGrid/>
              <w:spacing w:before="0" w:beforeAutospacing="0" w:after="0" w:afterAutospacing="0" w:line="240" w:lineRule="auto"/>
              <w:ind w:left="0" w:right="0"/>
              <w:jc w:val="left"/>
              <w:rPr>
                <w:rFonts w:hint="default" w:ascii="宋体" w:hAnsi="宋体" w:eastAsia="宋体" w:cs="宋体"/>
                <w:strike w:val="0"/>
                <w:dstrike w:val="0"/>
                <w:color w:val="auto"/>
                <w:kern w:val="0"/>
                <w:sz w:val="21"/>
                <w:szCs w:val="21"/>
                <w:highlight w:val="none"/>
                <w:lang w:val="en-US" w:eastAsia="zh-CN" w:bidi="ar"/>
              </w:rPr>
            </w:pPr>
            <w:r>
              <w:rPr>
                <w:rFonts w:hint="default" w:ascii="宋体" w:hAnsi="宋体" w:eastAsia="宋体" w:cs="宋体"/>
                <w:strike w:val="0"/>
                <w:dstrike w:val="0"/>
                <w:color w:val="auto"/>
                <w:kern w:val="0"/>
                <w:sz w:val="21"/>
                <w:szCs w:val="21"/>
                <w:highlight w:val="none"/>
                <w:lang w:val="en-US" w:eastAsia="zh-CN" w:bidi="ar"/>
              </w:rPr>
              <w:t>有效业绩需提供合同关键页扫描件（包括但不限于合同首页、主要内容页、签字盖章页等）及对应发票扫描件，能够清晰体现项目内容、零信任产品、签约时间</w:t>
            </w:r>
            <w:r>
              <w:rPr>
                <w:rFonts w:hint="eastAsia" w:ascii="宋体" w:hAnsi="宋体" w:eastAsia="宋体" w:cs="宋体"/>
                <w:strike w:val="0"/>
                <w:dstrike w:val="0"/>
                <w:color w:val="auto"/>
                <w:kern w:val="0"/>
                <w:sz w:val="21"/>
                <w:szCs w:val="21"/>
                <w:highlight w:val="none"/>
                <w:lang w:val="en-US" w:eastAsia="zh-CN" w:bidi="ar"/>
              </w:rPr>
              <w:t>。</w:t>
            </w:r>
          </w:p>
          <w:p w14:paraId="3D680A9B">
            <w:pPr>
              <w:keepNext w:val="0"/>
              <w:keepLines w:val="0"/>
              <w:widowControl/>
              <w:numPr>
                <w:ilvl w:val="0"/>
                <w:numId w:val="2"/>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strike w:val="0"/>
                <w:dstrike w:val="0"/>
                <w:color w:val="auto"/>
                <w:kern w:val="0"/>
                <w:sz w:val="21"/>
                <w:szCs w:val="21"/>
                <w:highlight w:val="none"/>
                <w:lang w:val="en-US" w:eastAsia="zh-CN" w:bidi="ar"/>
              </w:rPr>
              <w:t>同一采购单位同一年度多个同类项目业绩，仅按1个案例计分；重复业绩不累计加分。</w:t>
            </w:r>
          </w:p>
        </w:tc>
      </w:tr>
      <w:tr w14:paraId="0C78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8" w:type="dxa"/>
            <w:noWrap w:val="0"/>
            <w:vAlign w:val="center"/>
          </w:tcPr>
          <w:p w14:paraId="0F9DF13E">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企业实力</w:t>
            </w:r>
          </w:p>
        </w:tc>
        <w:tc>
          <w:tcPr>
            <w:tcW w:w="700" w:type="dxa"/>
            <w:noWrap w:val="0"/>
            <w:vAlign w:val="center"/>
          </w:tcPr>
          <w:p w14:paraId="0221A33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auto"/>
                <w:kern w:val="0"/>
                <w:sz w:val="21"/>
                <w:szCs w:val="21"/>
                <w:highlight w:val="none"/>
              </w:rPr>
            </w:pPr>
            <w:r>
              <w:rPr>
                <w:rFonts w:hint="eastAsia" w:cs="宋体"/>
                <w:b w:val="0"/>
                <w:bCs/>
                <w:i w:val="0"/>
                <w:iCs w:val="0"/>
                <w:color w:val="auto"/>
                <w:kern w:val="0"/>
                <w:sz w:val="21"/>
                <w:szCs w:val="21"/>
                <w:highlight w:val="none"/>
                <w:lang w:val="en-US" w:eastAsia="zh-CN"/>
              </w:rPr>
              <w:t>8</w:t>
            </w:r>
            <w:r>
              <w:rPr>
                <w:rFonts w:hint="eastAsia" w:ascii="宋体" w:hAnsi="宋体" w:eastAsia="宋体" w:cs="宋体"/>
                <w:b w:val="0"/>
                <w:bCs/>
                <w:i w:val="0"/>
                <w:iCs w:val="0"/>
                <w:color w:val="auto"/>
                <w:kern w:val="0"/>
                <w:sz w:val="21"/>
                <w:szCs w:val="21"/>
                <w:highlight w:val="none"/>
                <w:lang w:val="en-US" w:eastAsia="zh-CN"/>
              </w:rPr>
              <w:t>分</w:t>
            </w:r>
          </w:p>
        </w:tc>
        <w:tc>
          <w:tcPr>
            <w:tcW w:w="6308" w:type="dxa"/>
            <w:noWrap w:val="0"/>
            <w:vAlign w:val="center"/>
          </w:tcPr>
          <w:p w14:paraId="7E28C1A5">
            <w:pPr>
              <w:keepNext w:val="0"/>
              <w:keepLines w:val="0"/>
              <w:widowControl/>
              <w:numPr>
                <w:ilvl w:val="-1"/>
                <w:numId w:val="0"/>
              </w:numPr>
              <w:suppressLineNumbers w:val="0"/>
              <w:adjustRightInd/>
              <w:snapToGrid/>
              <w:spacing w:before="0" w:beforeAutospacing="0" w:after="0" w:afterAutospacing="0" w:line="240" w:lineRule="auto"/>
              <w:ind w:left="0" w:right="0"/>
              <w:jc w:val="left"/>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投标人具备如下有效期内、国家认可的有效资质</w:t>
            </w:r>
            <w:r>
              <w:rPr>
                <w:rFonts w:hint="eastAsia" w:ascii="宋体" w:hAnsi="宋体" w:eastAsia="宋体" w:cs="宋体"/>
                <w:color w:val="auto"/>
                <w:kern w:val="0"/>
                <w:sz w:val="21"/>
                <w:szCs w:val="21"/>
                <w:highlight w:val="none"/>
                <w:lang w:val="en-US" w:eastAsia="zh-CN" w:bidi="ar"/>
              </w:rPr>
              <w:t>证书</w:t>
            </w:r>
            <w:r>
              <w:rPr>
                <w:rFonts w:ascii="宋体" w:hAnsi="宋体" w:eastAsia="宋体" w:cs="宋体"/>
                <w:color w:val="auto"/>
                <w:kern w:val="0"/>
                <w:sz w:val="21"/>
                <w:szCs w:val="21"/>
                <w:highlight w:val="none"/>
                <w:lang w:val="en-US" w:eastAsia="zh-CN" w:bidi="ar"/>
              </w:rPr>
              <w:t>，每提供1个得2分，最多得8分：</w:t>
            </w:r>
          </w:p>
          <w:p w14:paraId="777D7EBC">
            <w:pPr>
              <w:keepNext w:val="0"/>
              <w:keepLines w:val="0"/>
              <w:widowControl/>
              <w:numPr>
                <w:ilvl w:val="0"/>
                <w:numId w:val="3"/>
              </w:numPr>
              <w:suppressLineNumbers w:val="0"/>
              <w:adjustRightInd/>
              <w:snapToGrid/>
              <w:spacing w:before="0" w:beforeAutospacing="0" w:after="0" w:afterAutospacing="0" w:line="240" w:lineRule="auto"/>
              <w:ind w:left="0" w:right="0"/>
              <w:jc w:val="left"/>
              <w:rPr>
                <w:rFonts w:hint="default" w:ascii="宋体" w:hAnsi="宋体" w:eastAsia="宋体" w:cs="宋体"/>
                <w:b w:val="0"/>
                <w:bCs w:val="0"/>
                <w:i w:val="0"/>
                <w:iCs w:val="0"/>
                <w:color w:val="auto"/>
                <w:kern w:val="0"/>
                <w:sz w:val="21"/>
                <w:szCs w:val="21"/>
                <w:highlight w:val="none"/>
                <w:lang w:bidi="ar"/>
              </w:rPr>
            </w:pPr>
            <w:r>
              <w:rPr>
                <w:rFonts w:hint="default" w:ascii="宋体" w:hAnsi="宋体" w:eastAsia="宋体" w:cs="宋体"/>
                <w:strike w:val="0"/>
                <w:dstrike w:val="0"/>
                <w:color w:val="auto"/>
                <w:kern w:val="0"/>
                <w:sz w:val="21"/>
                <w:szCs w:val="21"/>
                <w:highlight w:val="none"/>
                <w:lang w:val="en-US" w:eastAsia="zh-CN" w:bidi="ar"/>
              </w:rPr>
              <w:t>信息技术服务管理体系认证证书；</w:t>
            </w:r>
          </w:p>
          <w:p w14:paraId="73176F4D">
            <w:pPr>
              <w:keepNext w:val="0"/>
              <w:keepLines w:val="0"/>
              <w:widowControl/>
              <w:numPr>
                <w:ilvl w:val="0"/>
                <w:numId w:val="3"/>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rPr>
            </w:pPr>
            <w:r>
              <w:rPr>
                <w:rFonts w:ascii="宋体" w:hAnsi="宋体" w:eastAsia="宋体" w:cs="宋体"/>
                <w:color w:val="auto"/>
                <w:kern w:val="0"/>
                <w:sz w:val="21"/>
                <w:szCs w:val="21"/>
                <w:highlight w:val="none"/>
                <w:lang w:val="en-US" w:eastAsia="zh-CN" w:bidi="ar"/>
              </w:rPr>
              <w:t>信息安全服务资质认证证书；</w:t>
            </w:r>
          </w:p>
          <w:p w14:paraId="4B811C36">
            <w:pPr>
              <w:keepNext w:val="0"/>
              <w:keepLines w:val="0"/>
              <w:widowControl/>
              <w:numPr>
                <w:ilvl w:val="0"/>
                <w:numId w:val="3"/>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rPr>
            </w:pPr>
            <w:r>
              <w:rPr>
                <w:rFonts w:ascii="宋体" w:hAnsi="宋体" w:eastAsia="宋体" w:cs="宋体"/>
                <w:color w:val="auto"/>
                <w:kern w:val="0"/>
                <w:sz w:val="21"/>
                <w:szCs w:val="21"/>
                <w:highlight w:val="none"/>
                <w:lang w:val="en-US" w:eastAsia="zh-CN" w:bidi="ar"/>
              </w:rPr>
              <w:t>应急预案管理能力评价认证证书；</w:t>
            </w:r>
          </w:p>
          <w:p w14:paraId="4D37AFBD">
            <w:pPr>
              <w:keepNext w:val="0"/>
              <w:keepLines w:val="0"/>
              <w:widowControl/>
              <w:numPr>
                <w:ilvl w:val="0"/>
                <w:numId w:val="3"/>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rPr>
            </w:pPr>
            <w:r>
              <w:rPr>
                <w:rFonts w:ascii="宋体" w:hAnsi="宋体" w:eastAsia="宋体" w:cs="宋体"/>
                <w:color w:val="auto"/>
                <w:kern w:val="0"/>
                <w:sz w:val="21"/>
                <w:szCs w:val="21"/>
                <w:highlight w:val="none"/>
                <w:lang w:val="en-US" w:eastAsia="zh-CN" w:bidi="ar"/>
              </w:rPr>
              <w:t>售后服务认证证书。</w:t>
            </w:r>
          </w:p>
          <w:p w14:paraId="36FBA8DD">
            <w:pPr>
              <w:keepNext w:val="0"/>
              <w:keepLines w:val="0"/>
              <w:widowControl/>
              <w:numPr>
                <w:ilvl w:val="-1"/>
                <w:numId w:val="0"/>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rPr>
            </w:pPr>
            <w:r>
              <w:rPr>
                <w:rFonts w:ascii="宋体" w:hAnsi="宋体" w:eastAsia="宋体" w:cs="宋体"/>
                <w:color w:val="auto"/>
                <w:kern w:val="0"/>
                <w:sz w:val="21"/>
                <w:szCs w:val="21"/>
                <w:highlight w:val="none"/>
                <w:lang w:val="en-US" w:eastAsia="zh-CN" w:bidi="ar"/>
              </w:rPr>
              <w:t>资质证书须可在国家认证认可公共服务平台查询，提供证书扫描件及查询截图，证书过期、无效、无法查询的不予计分</w:t>
            </w:r>
            <w:r>
              <w:rPr>
                <w:rFonts w:hint="eastAsia" w:ascii="宋体" w:hAnsi="宋体" w:eastAsia="宋体" w:cs="宋体"/>
                <w:color w:val="auto"/>
                <w:kern w:val="0"/>
                <w:sz w:val="21"/>
                <w:szCs w:val="21"/>
                <w:highlight w:val="none"/>
                <w:lang w:val="en-US" w:eastAsia="zh-CN" w:bidi="ar"/>
              </w:rPr>
              <w:t>。</w:t>
            </w:r>
          </w:p>
        </w:tc>
      </w:tr>
      <w:tr w14:paraId="0412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8" w:type="dxa"/>
            <w:noWrap w:val="0"/>
            <w:vAlign w:val="center"/>
          </w:tcPr>
          <w:p w14:paraId="75ED145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技术参数响应</w:t>
            </w:r>
          </w:p>
        </w:tc>
        <w:tc>
          <w:tcPr>
            <w:tcW w:w="700" w:type="dxa"/>
            <w:noWrap w:val="0"/>
            <w:vAlign w:val="center"/>
          </w:tcPr>
          <w:p w14:paraId="4E67FF3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cs="宋体"/>
                <w:b w:val="0"/>
                <w:bCs/>
                <w:i w:val="0"/>
                <w:iCs w:val="0"/>
                <w:color w:val="auto"/>
                <w:kern w:val="0"/>
                <w:sz w:val="21"/>
                <w:szCs w:val="21"/>
                <w:highlight w:val="none"/>
                <w:lang w:val="en-US" w:eastAsia="zh-CN"/>
              </w:rPr>
              <w:t>14</w:t>
            </w:r>
            <w:r>
              <w:rPr>
                <w:rFonts w:hint="eastAsia" w:ascii="宋体" w:hAnsi="宋体" w:eastAsia="宋体" w:cs="宋体"/>
                <w:b w:val="0"/>
                <w:bCs/>
                <w:i w:val="0"/>
                <w:iCs w:val="0"/>
                <w:color w:val="auto"/>
                <w:kern w:val="0"/>
                <w:sz w:val="21"/>
                <w:szCs w:val="21"/>
                <w:highlight w:val="none"/>
                <w:lang w:val="en-US" w:eastAsia="zh-CN"/>
              </w:rPr>
              <w:t>分</w:t>
            </w:r>
          </w:p>
        </w:tc>
        <w:tc>
          <w:tcPr>
            <w:tcW w:w="6308" w:type="dxa"/>
            <w:noWrap w:val="0"/>
            <w:vAlign w:val="center"/>
          </w:tcPr>
          <w:p w14:paraId="3278C3F3">
            <w:pPr>
              <w:keepNext w:val="0"/>
              <w:keepLines w:val="0"/>
              <w:widowControl/>
              <w:suppressLineNumbers w:val="0"/>
              <w:adjustRightInd w:val="0"/>
              <w:snapToGrid w:val="0"/>
              <w:spacing w:before="0" w:beforeAutospacing="0" w:after="0" w:afterAutospacing="0" w:line="420" w:lineRule="exact"/>
              <w:ind w:left="0" w:right="0"/>
              <w:jc w:val="left"/>
              <w:rPr>
                <w:rFonts w:hint="eastAsia"/>
                <w:color w:val="auto"/>
                <w:highlight w:val="none"/>
                <w:lang w:val="en-US" w:eastAsia="zh-CN"/>
              </w:rPr>
            </w:pPr>
            <w:r>
              <w:rPr>
                <w:rFonts w:hint="eastAsia"/>
                <w:color w:val="auto"/>
                <w:highlight w:val="none"/>
                <w:lang w:val="en-US" w:eastAsia="zh-CN"/>
              </w:rPr>
              <w:t>依据技术参数及要求的响应情况进行综合评分，所投产品全部技术参数及要求完全满足或优于招标文件的，得满分14分</w:t>
            </w:r>
            <w:r>
              <w:rPr>
                <w:rFonts w:hint="eastAsia"/>
                <w:color w:val="auto"/>
                <w:highlight w:val="none"/>
                <w:lang w:val="en-US" w:eastAsia="zh-CN"/>
              </w:rPr>
              <w:t>；如有负偏离或未响应的，按下列标准扣分：</w:t>
            </w:r>
          </w:p>
          <w:p w14:paraId="529791D4">
            <w:pPr>
              <w:keepNext w:val="0"/>
              <w:keepLines w:val="0"/>
              <w:widowControl/>
              <w:numPr>
                <w:ilvl w:val="0"/>
                <w:numId w:val="4"/>
              </w:numPr>
              <w:suppressLineNumbers w:val="0"/>
              <w:adjustRightInd/>
              <w:snapToGrid/>
              <w:spacing w:before="0" w:beforeAutospacing="0" w:after="0" w:afterAutospacing="0" w:line="240" w:lineRule="auto"/>
              <w:ind w:left="0" w:right="0"/>
              <w:jc w:val="left"/>
              <w:rPr>
                <w:rFonts w:hint="default"/>
                <w:color w:val="auto"/>
                <w:kern w:val="0"/>
                <w:highlight w:val="none"/>
                <w:lang w:val="en-US" w:eastAsia="zh-CN" w:bidi="ar"/>
              </w:rPr>
            </w:pPr>
            <w:r>
              <w:rPr>
                <w:rFonts w:hint="default"/>
                <w:color w:val="auto"/>
                <w:kern w:val="0"/>
                <w:highlight w:val="none"/>
                <w:lang w:val="en-US" w:eastAsia="zh-CN" w:bidi="ar"/>
              </w:rPr>
              <w:t>标“★”条款的，每负偏离或未响应一项扣2分，扣完为止；</w:t>
            </w:r>
          </w:p>
          <w:p w14:paraId="1470DB9B">
            <w:pPr>
              <w:keepNext w:val="0"/>
              <w:keepLines w:val="0"/>
              <w:widowControl/>
              <w:numPr>
                <w:ilvl w:val="0"/>
                <w:numId w:val="4"/>
              </w:numPr>
              <w:suppressLineNumbers w:val="0"/>
              <w:adjustRightInd/>
              <w:snapToGrid/>
              <w:spacing w:before="0" w:beforeAutospacing="0" w:after="0" w:afterAutospacing="0" w:line="240" w:lineRule="auto"/>
              <w:ind w:left="0" w:right="0"/>
              <w:jc w:val="left"/>
              <w:rPr>
                <w:rFonts w:hint="default"/>
                <w:color w:val="auto"/>
                <w:kern w:val="0"/>
                <w:highlight w:val="none"/>
                <w:lang w:val="en-US" w:eastAsia="zh-CN" w:bidi="ar"/>
              </w:rPr>
            </w:pPr>
            <w:r>
              <w:rPr>
                <w:rFonts w:hint="default"/>
                <w:color w:val="auto"/>
                <w:kern w:val="0"/>
                <w:highlight w:val="none"/>
                <w:lang w:val="en-US" w:eastAsia="zh-CN" w:bidi="ar"/>
              </w:rPr>
              <w:t>非“★”条款的，每负偏离或未响应一项扣1分，扣完为止。</w:t>
            </w:r>
          </w:p>
          <w:p w14:paraId="7AB2BD18">
            <w:pPr>
              <w:keepNext w:val="0"/>
              <w:keepLines w:val="0"/>
              <w:widowControl/>
              <w:suppressLineNumbers w:val="0"/>
              <w:adjustRightInd w:val="0"/>
              <w:snapToGrid w:val="0"/>
              <w:spacing w:before="0" w:beforeAutospacing="0" w:after="0" w:afterAutospacing="0" w:line="420" w:lineRule="exact"/>
              <w:ind w:left="0" w:right="0"/>
              <w:jc w:val="left"/>
              <w:rPr>
                <w:rFonts w:hint="eastAsia"/>
                <w:color w:val="auto"/>
                <w:highlight w:val="none"/>
                <w:lang w:eastAsia="zh-CN"/>
              </w:rPr>
            </w:pPr>
            <w:r>
              <w:rPr>
                <w:rFonts w:hint="eastAsia"/>
                <w:color w:val="auto"/>
                <w:highlight w:val="none"/>
                <w:lang w:val="en-US" w:eastAsia="zh-CN"/>
              </w:rPr>
              <w:t>注：依据“产品需求中技术参数及要求”及“技术参数响应（偏离）表”要求提供的证明材料作为评审依据。未提供或提供不符合要求的不得分。</w:t>
            </w:r>
          </w:p>
        </w:tc>
      </w:tr>
      <w:tr w14:paraId="0FEF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508" w:type="dxa"/>
            <w:noWrap w:val="0"/>
            <w:vAlign w:val="center"/>
          </w:tcPr>
          <w:p w14:paraId="050106F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color w:val="auto"/>
                <w:highlight w:val="none"/>
                <w:lang w:val="en-US" w:eastAsia="zh-CN"/>
              </w:rPr>
              <w:t>市场占有率</w:t>
            </w:r>
          </w:p>
        </w:tc>
        <w:tc>
          <w:tcPr>
            <w:tcW w:w="700" w:type="dxa"/>
            <w:noWrap w:val="0"/>
            <w:vAlign w:val="center"/>
          </w:tcPr>
          <w:p w14:paraId="5371648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cs="宋体"/>
                <w:b w:val="0"/>
                <w:bCs/>
                <w:i w:val="0"/>
                <w:iCs w:val="0"/>
                <w:color w:val="auto"/>
                <w:kern w:val="0"/>
                <w:sz w:val="21"/>
                <w:szCs w:val="21"/>
                <w:highlight w:val="none"/>
                <w:lang w:val="en-US" w:eastAsia="zh-CN"/>
              </w:rPr>
              <w:t>2</w:t>
            </w:r>
            <w:r>
              <w:rPr>
                <w:rFonts w:hint="eastAsia" w:ascii="宋体" w:hAnsi="宋体" w:eastAsia="宋体" w:cs="宋体"/>
                <w:b w:val="0"/>
                <w:bCs/>
                <w:i w:val="0"/>
                <w:iCs w:val="0"/>
                <w:color w:val="auto"/>
                <w:kern w:val="0"/>
                <w:sz w:val="21"/>
                <w:szCs w:val="21"/>
                <w:highlight w:val="none"/>
                <w:lang w:val="en-US" w:eastAsia="zh-CN"/>
              </w:rPr>
              <w:t>分</w:t>
            </w:r>
          </w:p>
        </w:tc>
        <w:tc>
          <w:tcPr>
            <w:tcW w:w="6308" w:type="dxa"/>
            <w:noWrap w:val="0"/>
            <w:vAlign w:val="center"/>
          </w:tcPr>
          <w:p w14:paraId="0E7F1239">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近3年内，</w:t>
            </w:r>
            <w:r>
              <w:rPr>
                <w:rFonts w:hint="eastAsia" w:ascii="宋体" w:hAnsi="宋体" w:eastAsia="宋体" w:cs="宋体"/>
                <w:b w:val="0"/>
                <w:bCs/>
                <w:i w:val="0"/>
                <w:iCs w:val="0"/>
                <w:color w:val="auto"/>
                <w:sz w:val="21"/>
                <w:szCs w:val="21"/>
                <w:highlight w:val="none"/>
                <w:lang w:val="en-US" w:eastAsia="zh-CN"/>
              </w:rPr>
              <w:t>依据所投零信任产品</w:t>
            </w:r>
            <w:r>
              <w:rPr>
                <w:rFonts w:hint="eastAsia" w:cs="宋体"/>
                <w:b w:val="0"/>
                <w:bCs/>
                <w:i w:val="0"/>
                <w:iCs w:val="0"/>
                <w:color w:val="auto"/>
                <w:sz w:val="21"/>
                <w:szCs w:val="21"/>
                <w:highlight w:val="none"/>
                <w:lang w:val="en-US" w:eastAsia="zh-CN"/>
              </w:rPr>
              <w:t>曾</w:t>
            </w:r>
            <w:r>
              <w:rPr>
                <w:rFonts w:hint="eastAsia" w:ascii="宋体" w:hAnsi="宋体" w:eastAsia="宋体" w:cs="宋体"/>
                <w:b w:val="0"/>
                <w:bCs/>
                <w:i w:val="0"/>
                <w:iCs w:val="0"/>
                <w:color w:val="auto"/>
                <w:sz w:val="21"/>
                <w:szCs w:val="21"/>
                <w:highlight w:val="none"/>
                <w:lang w:val="en-US" w:eastAsia="zh-CN"/>
              </w:rPr>
              <w:t>在IDC中国零信任网络访问解决方案市场份额行业排名证明材料评分：第1-</w:t>
            </w:r>
            <w:r>
              <w:rPr>
                <w:rFonts w:hint="eastAsia" w:cs="宋体"/>
                <w:b w:val="0"/>
                <w:bCs/>
                <w:i w:val="0"/>
                <w:iCs w:val="0"/>
                <w:color w:val="auto"/>
                <w:sz w:val="21"/>
                <w:szCs w:val="21"/>
                <w:highlight w:val="none"/>
                <w:lang w:val="en-US" w:eastAsia="zh-CN"/>
              </w:rPr>
              <w:t>4</w:t>
            </w:r>
            <w:r>
              <w:rPr>
                <w:rFonts w:hint="eastAsia" w:ascii="宋体" w:hAnsi="宋体" w:eastAsia="宋体" w:cs="宋体"/>
                <w:b w:val="0"/>
                <w:bCs/>
                <w:i w:val="0"/>
                <w:iCs w:val="0"/>
                <w:color w:val="auto"/>
                <w:sz w:val="21"/>
                <w:szCs w:val="21"/>
                <w:highlight w:val="none"/>
                <w:lang w:val="en-US" w:eastAsia="zh-CN"/>
              </w:rPr>
              <w:t>名得</w:t>
            </w:r>
            <w:r>
              <w:rPr>
                <w:rFonts w:hint="eastAsia" w:cs="宋体"/>
                <w:b w:val="0"/>
                <w:bCs/>
                <w:i w:val="0"/>
                <w:iCs w:val="0"/>
                <w:color w:val="auto"/>
                <w:sz w:val="21"/>
                <w:szCs w:val="21"/>
                <w:highlight w:val="none"/>
                <w:lang w:val="en-US" w:eastAsia="zh-CN"/>
              </w:rPr>
              <w:t>2</w:t>
            </w:r>
            <w:r>
              <w:rPr>
                <w:rFonts w:hint="eastAsia" w:ascii="宋体" w:hAnsi="宋体" w:eastAsia="宋体" w:cs="宋体"/>
                <w:b w:val="0"/>
                <w:bCs/>
                <w:i w:val="0"/>
                <w:iCs w:val="0"/>
                <w:color w:val="auto"/>
                <w:sz w:val="21"/>
                <w:szCs w:val="21"/>
                <w:highlight w:val="none"/>
                <w:lang w:val="en-US" w:eastAsia="zh-CN"/>
              </w:rPr>
              <w:t>分、第</w:t>
            </w:r>
            <w:r>
              <w:rPr>
                <w:rFonts w:hint="eastAsia" w:cs="宋体"/>
                <w:b w:val="0"/>
                <w:bCs/>
                <w:i w:val="0"/>
                <w:iCs w:val="0"/>
                <w:color w:val="auto"/>
                <w:sz w:val="21"/>
                <w:szCs w:val="21"/>
                <w:highlight w:val="none"/>
                <w:lang w:val="en-US" w:eastAsia="zh-CN"/>
              </w:rPr>
              <w:t>5-8</w:t>
            </w:r>
            <w:r>
              <w:rPr>
                <w:rFonts w:hint="eastAsia" w:ascii="宋体" w:hAnsi="宋体" w:eastAsia="宋体" w:cs="宋体"/>
                <w:b w:val="0"/>
                <w:bCs/>
                <w:i w:val="0"/>
                <w:iCs w:val="0"/>
                <w:color w:val="auto"/>
                <w:sz w:val="21"/>
                <w:szCs w:val="21"/>
                <w:highlight w:val="none"/>
                <w:lang w:val="en-US" w:eastAsia="zh-CN"/>
              </w:rPr>
              <w:t>名得</w:t>
            </w:r>
            <w:r>
              <w:rPr>
                <w:rFonts w:hint="eastAsia" w:cs="宋体"/>
                <w:b w:val="0"/>
                <w:bCs/>
                <w:i w:val="0"/>
                <w:iCs w:val="0"/>
                <w:color w:val="auto"/>
                <w:sz w:val="21"/>
                <w:szCs w:val="21"/>
                <w:highlight w:val="none"/>
                <w:lang w:val="en-US" w:eastAsia="zh-CN"/>
              </w:rPr>
              <w:t>1</w:t>
            </w:r>
            <w:r>
              <w:rPr>
                <w:rFonts w:hint="eastAsia" w:ascii="宋体" w:hAnsi="宋体" w:eastAsia="宋体" w:cs="宋体"/>
                <w:b w:val="0"/>
                <w:bCs/>
                <w:i w:val="0"/>
                <w:iCs w:val="0"/>
                <w:color w:val="auto"/>
                <w:sz w:val="21"/>
                <w:szCs w:val="21"/>
                <w:highlight w:val="none"/>
                <w:lang w:val="en-US" w:eastAsia="zh-CN"/>
              </w:rPr>
              <w:t>分，其余不得分，</w:t>
            </w:r>
            <w:r>
              <w:rPr>
                <w:rFonts w:hint="eastAsia" w:cs="宋体"/>
                <w:b w:val="0"/>
                <w:bCs/>
                <w:i w:val="0"/>
                <w:iCs w:val="0"/>
                <w:color w:val="auto"/>
                <w:sz w:val="21"/>
                <w:szCs w:val="21"/>
                <w:highlight w:val="none"/>
                <w:lang w:val="en-US" w:eastAsia="zh-CN"/>
              </w:rPr>
              <w:t>未提供的</w:t>
            </w:r>
            <w:r>
              <w:rPr>
                <w:rFonts w:hint="eastAsia" w:ascii="宋体" w:hAnsi="宋体" w:eastAsia="宋体" w:cs="宋体"/>
                <w:b w:val="0"/>
                <w:bCs/>
                <w:i w:val="0"/>
                <w:iCs w:val="0"/>
                <w:color w:val="auto"/>
                <w:sz w:val="21"/>
                <w:szCs w:val="21"/>
                <w:highlight w:val="none"/>
                <w:lang w:val="en-US" w:eastAsia="zh-CN"/>
              </w:rPr>
              <w:t>不得分。</w:t>
            </w:r>
          </w:p>
        </w:tc>
      </w:tr>
      <w:tr w14:paraId="1AB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8" w:type="dxa"/>
            <w:shd w:val="clear"/>
            <w:noWrap w:val="0"/>
            <w:vAlign w:val="center"/>
          </w:tcPr>
          <w:p w14:paraId="72888245">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i w:val="0"/>
                <w:iCs w:val="0"/>
                <w:color w:val="auto"/>
                <w:kern w:val="0"/>
                <w:sz w:val="21"/>
                <w:szCs w:val="21"/>
                <w:highlight w:val="none"/>
                <w:lang w:val="en-US" w:eastAsia="zh-CN" w:bidi="ar-SA"/>
              </w:rPr>
            </w:pPr>
            <w:r>
              <w:rPr>
                <w:rFonts w:hint="eastAsia" w:ascii="宋体" w:eastAsia="宋体" w:cs="宋体"/>
                <w:color w:val="auto"/>
                <w:sz w:val="24"/>
                <w:szCs w:val="24"/>
                <w:highlight w:val="none"/>
                <w:lang w:val="en-US" w:eastAsia="zh-CN" w:bidi="ar-SA"/>
              </w:rPr>
              <w:t>服务</w:t>
            </w:r>
            <w:r>
              <w:rPr>
                <w:rFonts w:hint="eastAsia" w:ascii="宋体" w:eastAsia="宋体" w:cs="宋体"/>
                <w:color w:val="auto"/>
                <w:sz w:val="24"/>
                <w:szCs w:val="24"/>
                <w:highlight w:val="none"/>
                <w:lang w:bidi="ar-SA"/>
              </w:rPr>
              <w:t>方案</w:t>
            </w:r>
          </w:p>
        </w:tc>
        <w:tc>
          <w:tcPr>
            <w:tcW w:w="700" w:type="dxa"/>
            <w:shd w:val="clear"/>
            <w:noWrap w:val="0"/>
            <w:vAlign w:val="center"/>
          </w:tcPr>
          <w:p w14:paraId="1B6D7585">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eastAsia="宋体" w:cs="宋体"/>
                <w:b w:val="0"/>
                <w:bCs/>
                <w:i w:val="0"/>
                <w:iCs w:val="0"/>
                <w:color w:val="auto"/>
                <w:kern w:val="0"/>
                <w:sz w:val="21"/>
                <w:szCs w:val="21"/>
                <w:highlight w:val="none"/>
                <w:lang w:val="en-US" w:eastAsia="zh-CN" w:bidi="ar-SA"/>
              </w:rPr>
            </w:pPr>
            <w:r>
              <w:rPr>
                <w:rFonts w:hint="eastAsia" w:cs="宋体"/>
                <w:b w:val="0"/>
                <w:bCs/>
                <w:i w:val="0"/>
                <w:iCs w:val="0"/>
                <w:color w:val="auto"/>
                <w:kern w:val="0"/>
                <w:sz w:val="21"/>
                <w:szCs w:val="21"/>
                <w:highlight w:val="none"/>
                <w:lang w:val="en-US" w:eastAsia="zh-CN"/>
              </w:rPr>
              <w:t>10分</w:t>
            </w:r>
          </w:p>
        </w:tc>
        <w:tc>
          <w:tcPr>
            <w:tcW w:w="6308" w:type="dxa"/>
            <w:shd w:val="clear"/>
            <w:noWrap w:val="0"/>
            <w:vAlign w:val="center"/>
          </w:tcPr>
          <w:p w14:paraId="19BAC798">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依据投标人针对本项目制定的整体策划方案，包括项目设计说明、实施方案、测试验证、安全加固、故障维修、日常巡检、售后服务等进行综合评分。</w:t>
            </w:r>
          </w:p>
          <w:p w14:paraId="39556637">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auto"/>
                <w:kern w:val="2"/>
                <w:sz w:val="21"/>
                <w:szCs w:val="21"/>
                <w:highlight w:val="none"/>
                <w:lang w:val="en-US" w:eastAsia="zh-CN" w:bidi="ar-SA"/>
              </w:rPr>
            </w:pPr>
            <w:r>
              <w:rPr>
                <w:rFonts w:hint="eastAsia" w:ascii="宋体" w:hAnsi="宋体" w:eastAsia="宋体" w:cs="宋体"/>
                <w:b w:val="0"/>
                <w:bCs/>
                <w:i w:val="0"/>
                <w:iCs w:val="0"/>
                <w:color w:val="auto"/>
                <w:sz w:val="21"/>
                <w:szCs w:val="21"/>
                <w:highlight w:val="none"/>
                <w:lang w:val="en-US" w:eastAsia="zh-CN"/>
              </w:rPr>
              <w:t>优秀的得7-10分，良好的得4-7分；一般的得1-4分。其他或未提供的不得分。</w:t>
            </w:r>
          </w:p>
        </w:tc>
      </w:tr>
      <w:tr w14:paraId="776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08" w:type="dxa"/>
            <w:noWrap w:val="0"/>
            <w:vAlign w:val="center"/>
          </w:tcPr>
          <w:p w14:paraId="4604ECD7">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 w:val="0"/>
                <w:bCs/>
                <w:i w:val="0"/>
                <w:iCs w:val="0"/>
                <w:color w:val="auto"/>
                <w:kern w:val="0"/>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售后能力</w:t>
            </w:r>
          </w:p>
        </w:tc>
        <w:tc>
          <w:tcPr>
            <w:tcW w:w="700" w:type="dxa"/>
            <w:noWrap w:val="0"/>
            <w:vAlign w:val="center"/>
          </w:tcPr>
          <w:p w14:paraId="5C19371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cs="宋体"/>
                <w:b w:val="0"/>
                <w:bCs/>
                <w:i w:val="0"/>
                <w:iCs w:val="0"/>
                <w:color w:val="auto"/>
                <w:kern w:val="0"/>
                <w:sz w:val="21"/>
                <w:szCs w:val="21"/>
                <w:highlight w:val="none"/>
                <w:lang w:val="en-US" w:eastAsia="zh-CN"/>
              </w:rPr>
              <w:t>8</w:t>
            </w:r>
            <w:r>
              <w:rPr>
                <w:rFonts w:hint="eastAsia" w:ascii="宋体" w:hAnsi="宋体" w:eastAsia="宋体" w:cs="宋体"/>
                <w:b w:val="0"/>
                <w:bCs/>
                <w:i w:val="0"/>
                <w:iCs w:val="0"/>
                <w:color w:val="auto"/>
                <w:kern w:val="0"/>
                <w:sz w:val="21"/>
                <w:szCs w:val="21"/>
                <w:highlight w:val="none"/>
                <w:lang w:val="en-US" w:eastAsia="zh-CN"/>
              </w:rPr>
              <w:t>分</w:t>
            </w:r>
          </w:p>
        </w:tc>
        <w:tc>
          <w:tcPr>
            <w:tcW w:w="6308" w:type="dxa"/>
            <w:noWrap w:val="0"/>
            <w:vAlign w:val="center"/>
          </w:tcPr>
          <w:p w14:paraId="5C21DC59">
            <w:pPr>
              <w:keepNext w:val="0"/>
              <w:keepLines w:val="0"/>
              <w:widowControl/>
              <w:numPr>
                <w:ilvl w:val="0"/>
                <w:numId w:val="5"/>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color w:val="auto"/>
                <w:kern w:val="0"/>
                <w:highlight w:val="none"/>
                <w:lang w:val="en-US" w:eastAsia="zh-CN" w:bidi="ar"/>
              </w:rPr>
              <w:t>投标人具有所投品牌正规授权代理</w:t>
            </w:r>
            <w:r>
              <w:rPr>
                <w:rFonts w:hint="default"/>
                <w:color w:val="auto"/>
                <w:kern w:val="0"/>
                <w:highlight w:val="none"/>
                <w:lang w:val="en-US" w:eastAsia="zh-CN" w:bidi="ar"/>
              </w:rPr>
              <w:t>或</w:t>
            </w:r>
            <w:r>
              <w:rPr>
                <w:rFonts w:hint="eastAsia"/>
                <w:color w:val="auto"/>
                <w:kern w:val="0"/>
                <w:highlight w:val="none"/>
                <w:lang w:val="en-US" w:eastAsia="zh-CN" w:bidi="ar"/>
              </w:rPr>
              <w:t>经销</w:t>
            </w:r>
            <w:r>
              <w:rPr>
                <w:rFonts w:hint="default"/>
                <w:color w:val="auto"/>
                <w:kern w:val="0"/>
                <w:highlight w:val="none"/>
                <w:lang w:val="en-US" w:eastAsia="zh-CN" w:bidi="ar"/>
              </w:rPr>
              <w:t>资质</w:t>
            </w:r>
            <w:r>
              <w:rPr>
                <w:rFonts w:hint="eastAsia"/>
                <w:color w:val="auto"/>
                <w:kern w:val="0"/>
                <w:highlight w:val="none"/>
                <w:lang w:val="en-US" w:eastAsia="zh-CN" w:bidi="ar"/>
              </w:rPr>
              <w:t>证书，得2</w:t>
            </w:r>
            <w:r>
              <w:rPr>
                <w:rFonts w:hint="eastAsia"/>
                <w:color w:val="auto"/>
                <w:kern w:val="0"/>
                <w:highlight w:val="none"/>
                <w:lang w:val="en-US" w:eastAsia="zh-CN" w:bidi="ar"/>
              </w:rPr>
              <w:t>分；</w:t>
            </w:r>
          </w:p>
          <w:p w14:paraId="24471C79">
            <w:pPr>
              <w:keepNext w:val="0"/>
              <w:keepLines w:val="0"/>
              <w:widowControl/>
              <w:numPr>
                <w:ilvl w:val="0"/>
                <w:numId w:val="5"/>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投标人具有完善的便利化售后服务能力：</w:t>
            </w:r>
          </w:p>
          <w:p w14:paraId="1375A1D2">
            <w:pPr>
              <w:keepNext w:val="0"/>
              <w:keepLines w:val="0"/>
              <w:pageBreakBefore w:val="0"/>
              <w:numPr>
                <w:ilvl w:val="0"/>
                <w:numId w:val="6"/>
              </w:numPr>
              <w:kinsoku/>
              <w:wordWrap/>
              <w:overflowPunct/>
              <w:topLinePunct w:val="0"/>
              <w:autoSpaceDE/>
              <w:autoSpaceDN/>
              <w:bidi w:val="0"/>
              <w:spacing w:line="288" w:lineRule="auto"/>
              <w:ind w:left="425" w:leftChars="0" w:hanging="425" w:firstLineChars="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提供2小时内到达现场服务承诺，并提供相关场地、服务保障、服务承诺等证明材料的，得</w:t>
            </w:r>
            <w:r>
              <w:rPr>
                <w:rFonts w:hint="eastAsia" w:cs="宋体"/>
                <w:b w:val="0"/>
                <w:bCs/>
                <w:i w:val="0"/>
                <w:iCs w:val="0"/>
                <w:color w:val="auto"/>
                <w:sz w:val="21"/>
                <w:szCs w:val="21"/>
                <w:highlight w:val="none"/>
                <w:lang w:val="en-US" w:eastAsia="zh-CN"/>
              </w:rPr>
              <w:t>2</w:t>
            </w:r>
            <w:r>
              <w:rPr>
                <w:rFonts w:hint="eastAsia" w:ascii="宋体" w:hAnsi="宋体" w:eastAsia="宋体" w:cs="宋体"/>
                <w:b w:val="0"/>
                <w:bCs/>
                <w:i w:val="0"/>
                <w:iCs w:val="0"/>
                <w:color w:val="auto"/>
                <w:sz w:val="21"/>
                <w:szCs w:val="21"/>
                <w:highlight w:val="none"/>
                <w:lang w:val="en-US" w:eastAsia="zh-CN"/>
              </w:rPr>
              <w:t>分；</w:t>
            </w:r>
          </w:p>
          <w:p w14:paraId="044ACD8D">
            <w:pPr>
              <w:keepNext w:val="0"/>
              <w:keepLines w:val="0"/>
              <w:pageBreakBefore w:val="0"/>
              <w:numPr>
                <w:ilvl w:val="0"/>
                <w:numId w:val="6"/>
              </w:numPr>
              <w:kinsoku/>
              <w:wordWrap/>
              <w:overflowPunct/>
              <w:topLinePunct w:val="0"/>
              <w:autoSpaceDE/>
              <w:autoSpaceDN/>
              <w:bidi w:val="0"/>
              <w:spacing w:line="288" w:lineRule="auto"/>
              <w:ind w:left="425" w:leftChars="0" w:hanging="425" w:firstLineChars="0"/>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固定售后服务团队人员规模：≥15人的得</w:t>
            </w:r>
            <w:r>
              <w:rPr>
                <w:rFonts w:hint="eastAsia" w:cs="宋体"/>
                <w:b w:val="0"/>
                <w:bCs/>
                <w:i w:val="0"/>
                <w:iCs w:val="0"/>
                <w:color w:val="auto"/>
                <w:sz w:val="21"/>
                <w:szCs w:val="21"/>
                <w:highlight w:val="none"/>
                <w:lang w:val="en-US" w:eastAsia="zh-CN"/>
              </w:rPr>
              <w:t>2</w:t>
            </w:r>
            <w:r>
              <w:rPr>
                <w:rFonts w:hint="eastAsia" w:ascii="宋体" w:hAnsi="宋体" w:eastAsia="宋体" w:cs="宋体"/>
                <w:b w:val="0"/>
                <w:bCs/>
                <w:i w:val="0"/>
                <w:iCs w:val="0"/>
                <w:color w:val="auto"/>
                <w:sz w:val="21"/>
                <w:szCs w:val="21"/>
                <w:highlight w:val="none"/>
                <w:lang w:val="en-US" w:eastAsia="zh-CN"/>
              </w:rPr>
              <w:t>分、10-14人的得</w:t>
            </w:r>
            <w:r>
              <w:rPr>
                <w:rFonts w:hint="eastAsia" w:cs="宋体"/>
                <w:b w:val="0"/>
                <w:bCs/>
                <w:i w:val="0"/>
                <w:iCs w:val="0"/>
                <w:color w:val="auto"/>
                <w:sz w:val="21"/>
                <w:szCs w:val="21"/>
                <w:highlight w:val="none"/>
                <w:lang w:val="en-US" w:eastAsia="zh-CN"/>
              </w:rPr>
              <w:t>1</w:t>
            </w:r>
            <w:r>
              <w:rPr>
                <w:rFonts w:hint="eastAsia" w:ascii="宋体" w:hAnsi="宋体" w:eastAsia="宋体" w:cs="宋体"/>
                <w:b w:val="0"/>
                <w:bCs/>
                <w:i w:val="0"/>
                <w:iCs w:val="0"/>
                <w:color w:val="auto"/>
                <w:sz w:val="21"/>
                <w:szCs w:val="21"/>
                <w:highlight w:val="none"/>
                <w:lang w:val="en-US" w:eastAsia="zh-CN"/>
              </w:rPr>
              <w:t>分、10 人以下不得分。</w:t>
            </w:r>
          </w:p>
          <w:p w14:paraId="1DD514A6">
            <w:pPr>
              <w:keepNext w:val="0"/>
              <w:keepLines w:val="0"/>
              <w:widowControl/>
              <w:numPr>
                <w:ilvl w:val="0"/>
                <w:numId w:val="5"/>
              </w:numPr>
              <w:suppressLineNumbers w:val="0"/>
              <w:adjustRightInd/>
              <w:snapToGrid/>
              <w:spacing w:before="0" w:beforeAutospacing="0" w:after="0" w:afterAutospacing="0" w:line="240" w:lineRule="auto"/>
              <w:ind w:left="0" w:right="0"/>
              <w:jc w:val="left"/>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具备所投网络安全、零信任</w:t>
            </w:r>
            <w:r>
              <w:rPr>
                <w:rFonts w:hint="eastAsia" w:cs="宋体"/>
                <w:b w:val="0"/>
                <w:bCs/>
                <w:i w:val="0"/>
                <w:iCs w:val="0"/>
                <w:color w:val="auto"/>
                <w:sz w:val="21"/>
                <w:szCs w:val="21"/>
                <w:highlight w:val="none"/>
                <w:lang w:val="en-US" w:eastAsia="zh-CN"/>
              </w:rPr>
              <w:t>产品</w:t>
            </w:r>
            <w:r>
              <w:rPr>
                <w:rFonts w:hint="eastAsia" w:ascii="宋体" w:hAnsi="宋体" w:eastAsia="宋体" w:cs="宋体"/>
                <w:b w:val="0"/>
                <w:bCs/>
                <w:i w:val="0"/>
                <w:iCs w:val="0"/>
                <w:color w:val="auto"/>
                <w:sz w:val="21"/>
                <w:szCs w:val="21"/>
                <w:highlight w:val="none"/>
                <w:lang w:val="en-US" w:eastAsia="zh-CN"/>
              </w:rPr>
              <w:t>相关制造商或行业认证工程师证书，每提供1名有效证书得1分，最高得</w:t>
            </w:r>
            <w:r>
              <w:rPr>
                <w:rFonts w:hint="eastAsia" w:cs="宋体"/>
                <w:b w:val="0"/>
                <w:bCs/>
                <w:i w:val="0"/>
                <w:iCs w:val="0"/>
                <w:color w:val="auto"/>
                <w:sz w:val="21"/>
                <w:szCs w:val="21"/>
                <w:highlight w:val="none"/>
                <w:lang w:val="en-US" w:eastAsia="zh-CN"/>
              </w:rPr>
              <w:t>2</w:t>
            </w:r>
            <w:r>
              <w:rPr>
                <w:rFonts w:hint="eastAsia" w:ascii="宋体" w:hAnsi="宋体" w:eastAsia="宋体" w:cs="宋体"/>
                <w:b w:val="0"/>
                <w:bCs/>
                <w:i w:val="0"/>
                <w:iCs w:val="0"/>
                <w:color w:val="auto"/>
                <w:sz w:val="21"/>
                <w:szCs w:val="21"/>
                <w:highlight w:val="none"/>
                <w:lang w:val="en-US" w:eastAsia="zh-CN"/>
              </w:rPr>
              <w:t>分。</w:t>
            </w:r>
          </w:p>
          <w:p w14:paraId="4A956CFC">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注：以上1-3项，投标文件中须提供近半年内任意三个月投标人为其缴纳的的社保证明（任意险种）。</w:t>
            </w:r>
            <w:r>
              <w:rPr>
                <w:rFonts w:hint="eastAsia"/>
                <w:color w:val="auto"/>
                <w:highlight w:val="none"/>
                <w:lang w:val="en-US" w:eastAsia="zh-CN"/>
              </w:rPr>
              <w:t>未提供或提供不符合要求的不得分。</w:t>
            </w:r>
          </w:p>
        </w:tc>
      </w:tr>
      <w:tr w14:paraId="333F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8" w:type="dxa"/>
            <w:gridSpan w:val="2"/>
            <w:noWrap w:val="0"/>
            <w:vAlign w:val="center"/>
          </w:tcPr>
          <w:p w14:paraId="4F3E35F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kern w:val="0"/>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总分</w:t>
            </w:r>
          </w:p>
        </w:tc>
        <w:tc>
          <w:tcPr>
            <w:tcW w:w="6308" w:type="dxa"/>
            <w:noWrap w:val="0"/>
            <w:vAlign w:val="center"/>
          </w:tcPr>
          <w:p w14:paraId="54AE9FD7">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kern w:val="0"/>
                <w:sz w:val="21"/>
                <w:szCs w:val="21"/>
                <w:highlight w:val="none"/>
                <w:lang w:val="en-US" w:eastAsia="zh-CN"/>
              </w:rPr>
              <w:t>100分</w:t>
            </w:r>
          </w:p>
        </w:tc>
      </w:tr>
    </w:tbl>
    <w:p w14:paraId="5129BAE6">
      <w:pPr>
        <w:rPr>
          <w:rFonts w:hint="eastAsia"/>
          <w:color w:val="auto"/>
          <w:highlight w:val="none"/>
          <w:lang w:val="en-US" w:eastAsia="zh-CN"/>
        </w:rPr>
      </w:pPr>
      <w:r>
        <w:rPr>
          <w:rFonts w:hint="eastAsia"/>
          <w:color w:val="auto"/>
          <w:highlight w:val="none"/>
          <w:lang w:val="en-US" w:eastAsia="zh-CN"/>
        </w:rPr>
        <w:t>注：</w:t>
      </w:r>
    </w:p>
    <w:p w14:paraId="692A34F8">
      <w:pPr>
        <w:pStyle w:val="19"/>
        <w:numPr>
          <w:ilvl w:val="0"/>
          <w:numId w:val="7"/>
        </w:numPr>
        <w:ind w:left="0" w:leftChars="0" w:firstLine="0" w:firstLineChars="0"/>
        <w:rPr>
          <w:rFonts w:hint="default"/>
          <w:color w:val="auto"/>
          <w:highlight w:val="none"/>
          <w:lang w:val="en-US" w:eastAsia="zh-CN"/>
        </w:rPr>
      </w:pPr>
      <w:r>
        <w:rPr>
          <w:rFonts w:hint="default"/>
          <w:color w:val="auto"/>
          <w:highlight w:val="none"/>
          <w:lang w:val="en-US" w:eastAsia="zh-CN"/>
        </w:rPr>
        <w:t>所有</w:t>
      </w:r>
      <w:r>
        <w:rPr>
          <w:rFonts w:hint="eastAsia"/>
          <w:color w:val="auto"/>
          <w:highlight w:val="none"/>
          <w:lang w:val="en-US" w:eastAsia="zh-CN"/>
        </w:rPr>
        <w:t>提供</w:t>
      </w:r>
      <w:r>
        <w:rPr>
          <w:rFonts w:hint="default"/>
          <w:color w:val="auto"/>
          <w:highlight w:val="none"/>
          <w:lang w:val="en-US" w:eastAsia="zh-CN"/>
        </w:rPr>
        <w:t>的相关证明材料必须真实、完整、有效</w:t>
      </w:r>
      <w:r>
        <w:rPr>
          <w:rFonts w:hint="eastAsia"/>
          <w:color w:val="auto"/>
          <w:highlight w:val="none"/>
          <w:lang w:val="en-US" w:eastAsia="zh-CN"/>
        </w:rPr>
        <w:t>，内容与申报事项保持一致，且合规可核验。</w:t>
      </w:r>
    </w:p>
    <w:p w14:paraId="5EC2D646">
      <w:pPr>
        <w:pStyle w:val="19"/>
        <w:numPr>
          <w:ilvl w:val="0"/>
          <w:numId w:val="7"/>
        </w:numPr>
        <w:ind w:left="0" w:leftChars="0" w:firstLine="0" w:firstLineChars="0"/>
        <w:rPr>
          <w:rFonts w:hint="default"/>
          <w:color w:val="auto"/>
          <w:highlight w:val="none"/>
          <w:lang w:val="en-US" w:eastAsia="zh-CN"/>
        </w:rPr>
      </w:pPr>
      <w:r>
        <w:rPr>
          <w:rFonts w:hint="default"/>
          <w:color w:val="auto"/>
          <w:highlight w:val="none"/>
          <w:lang w:val="en-US" w:eastAsia="zh-CN"/>
        </w:rPr>
        <w:t>严禁伪造、篡改、变造各类证明材料，该行为一经查实，将直接不予计分，并取消其投标资格。</w:t>
      </w:r>
    </w:p>
    <w:p w14:paraId="5ED6E84E">
      <w:pPr>
        <w:pStyle w:val="19"/>
        <w:numPr>
          <w:ilvl w:val="0"/>
          <w:numId w:val="7"/>
        </w:numPr>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凡存在弄虚作假行为的，一律按废标处理。</w:t>
      </w:r>
    </w:p>
    <w:p w14:paraId="7FD0F0B6">
      <w:pPr>
        <w:pStyle w:val="3"/>
        <w:bidi w:val="0"/>
        <w:rPr>
          <w:rFonts w:hint="eastAsia"/>
          <w:color w:val="auto"/>
          <w:highlight w:val="none"/>
          <w:lang w:val="en-US" w:eastAsia="zh-CN"/>
        </w:rPr>
      </w:pPr>
      <w:bookmarkStart w:id="15" w:name="_Toc11975"/>
      <w:bookmarkStart w:id="16" w:name="_Toc28278"/>
      <w:bookmarkStart w:id="17" w:name="_Toc1771"/>
      <w:bookmarkStart w:id="18" w:name="_Toc334"/>
      <w:bookmarkStart w:id="19" w:name="_Toc23054"/>
      <w:r>
        <w:rPr>
          <w:rFonts w:hint="eastAsia"/>
          <w:color w:val="auto"/>
          <w:highlight w:val="none"/>
          <w:lang w:val="en-US" w:eastAsia="zh-CN"/>
        </w:rPr>
        <w:t>第四部分 项目需求</w:t>
      </w:r>
      <w:bookmarkEnd w:id="15"/>
      <w:bookmarkEnd w:id="16"/>
      <w:bookmarkEnd w:id="17"/>
      <w:bookmarkEnd w:id="18"/>
      <w:bookmarkEnd w:id="19"/>
    </w:p>
    <w:p w14:paraId="0557511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（一）产品需求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88"/>
        <w:gridCol w:w="5737"/>
        <w:gridCol w:w="775"/>
      </w:tblGrid>
      <w:tr w14:paraId="287C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16" w:type="dxa"/>
            <w:vAlign w:val="center"/>
          </w:tcPr>
          <w:p w14:paraId="4ED122F3">
            <w:pPr>
              <w:bidi w:val="0"/>
              <w:jc w:val="center"/>
              <w:rPr>
                <w:rFonts w:hint="eastAsia"/>
                <w:color w:val="auto"/>
                <w:highlight w:val="none"/>
                <w:lang w:val="en-US" w:eastAsia="zh-CN"/>
              </w:rPr>
            </w:pPr>
            <w:r>
              <w:rPr>
                <w:rFonts w:hint="eastAsia"/>
                <w:color w:val="auto"/>
                <w:highlight w:val="none"/>
                <w:lang w:val="en-US" w:eastAsia="zh-CN"/>
              </w:rPr>
              <w:t>序号</w:t>
            </w:r>
          </w:p>
        </w:tc>
        <w:tc>
          <w:tcPr>
            <w:tcW w:w="1288" w:type="dxa"/>
            <w:shd w:val="clear" w:color="auto" w:fill="auto"/>
            <w:vAlign w:val="center"/>
          </w:tcPr>
          <w:p w14:paraId="55DDBE01">
            <w:pPr>
              <w:bidi w:val="0"/>
              <w:jc w:val="center"/>
              <w:rPr>
                <w:rFonts w:hint="eastAsia"/>
                <w:color w:val="auto"/>
                <w:highlight w:val="none"/>
                <w:lang w:val="en-US" w:eastAsia="zh-CN"/>
              </w:rPr>
            </w:pPr>
            <w:r>
              <w:rPr>
                <w:rFonts w:hint="eastAsia"/>
                <w:color w:val="auto"/>
                <w:highlight w:val="none"/>
                <w:lang w:val="en-US" w:eastAsia="zh-CN"/>
              </w:rPr>
              <w:t>产品名称</w:t>
            </w:r>
          </w:p>
        </w:tc>
        <w:tc>
          <w:tcPr>
            <w:tcW w:w="5737" w:type="dxa"/>
            <w:vAlign w:val="center"/>
          </w:tcPr>
          <w:p w14:paraId="3E77D1B0">
            <w:pPr>
              <w:bidi w:val="0"/>
              <w:jc w:val="center"/>
              <w:rPr>
                <w:rFonts w:hint="eastAsia"/>
                <w:color w:val="auto"/>
                <w:highlight w:val="none"/>
                <w:lang w:val="en-US" w:eastAsia="zh-CN"/>
              </w:rPr>
            </w:pPr>
            <w:r>
              <w:rPr>
                <w:rFonts w:hint="eastAsia"/>
                <w:color w:val="auto"/>
                <w:highlight w:val="none"/>
                <w:lang w:val="en-US" w:eastAsia="zh-CN"/>
              </w:rPr>
              <w:t>技术参数及要求</w:t>
            </w:r>
          </w:p>
        </w:tc>
        <w:tc>
          <w:tcPr>
            <w:tcW w:w="775" w:type="dxa"/>
            <w:vAlign w:val="center"/>
          </w:tcPr>
          <w:p w14:paraId="5B7C4765">
            <w:pPr>
              <w:bidi w:val="0"/>
              <w:jc w:val="center"/>
              <w:rPr>
                <w:rFonts w:hint="eastAsia"/>
                <w:color w:val="auto"/>
                <w:highlight w:val="none"/>
                <w:lang w:val="en-US" w:eastAsia="zh-CN"/>
              </w:rPr>
            </w:pPr>
            <w:r>
              <w:rPr>
                <w:rFonts w:hint="eastAsia"/>
                <w:color w:val="auto"/>
                <w:highlight w:val="none"/>
                <w:lang w:val="en-US" w:eastAsia="zh-CN"/>
              </w:rPr>
              <w:t>数量</w:t>
            </w:r>
          </w:p>
        </w:tc>
      </w:tr>
      <w:tr w14:paraId="40A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9AB18E7">
            <w:pPr>
              <w:bidi w:val="0"/>
              <w:jc w:val="center"/>
              <w:rPr>
                <w:rFonts w:hint="eastAsia"/>
                <w:color w:val="auto"/>
                <w:highlight w:val="none"/>
                <w:lang w:val="en-US" w:eastAsia="zh-CN"/>
              </w:rPr>
            </w:pPr>
            <w:r>
              <w:rPr>
                <w:rFonts w:hint="eastAsia"/>
                <w:color w:val="auto"/>
                <w:highlight w:val="none"/>
                <w:lang w:val="en-US" w:eastAsia="zh-CN"/>
              </w:rPr>
              <w:t>1</w:t>
            </w:r>
          </w:p>
        </w:tc>
        <w:tc>
          <w:tcPr>
            <w:tcW w:w="1288" w:type="dxa"/>
            <w:shd w:val="clear" w:color="auto" w:fill="auto"/>
            <w:vAlign w:val="center"/>
          </w:tcPr>
          <w:p w14:paraId="0C709A48">
            <w:pPr>
              <w:bidi w:val="0"/>
              <w:jc w:val="center"/>
              <w:rPr>
                <w:rFonts w:hint="eastAsia"/>
                <w:color w:val="auto"/>
                <w:highlight w:val="none"/>
                <w:lang w:val="en-US" w:eastAsia="zh-CN"/>
              </w:rPr>
            </w:pPr>
            <w:r>
              <w:rPr>
                <w:rFonts w:hint="eastAsia"/>
                <w:color w:val="auto"/>
                <w:highlight w:val="none"/>
                <w:lang w:val="en-US" w:eastAsia="zh-CN"/>
              </w:rPr>
              <w:t>零信任设备</w:t>
            </w:r>
          </w:p>
        </w:tc>
        <w:tc>
          <w:tcPr>
            <w:tcW w:w="5737" w:type="dxa"/>
            <w:vAlign w:val="center"/>
          </w:tcPr>
          <w:p w14:paraId="65C33924">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配置不少于8个千兆</w:t>
            </w:r>
            <w:bookmarkStart w:id="20" w:name="OLE_LINK167"/>
            <w:bookmarkStart w:id="21" w:name="OLE_LINK168"/>
            <w:r>
              <w:rPr>
                <w:rFonts w:hint="eastAsia"/>
                <w:color w:val="auto"/>
                <w:highlight w:val="none"/>
              </w:rPr>
              <w:t>电口，不少于2个万兆光口（配置2个万兆多模光模块），</w:t>
            </w:r>
            <w:r>
              <w:rPr>
                <w:rFonts w:hint="eastAsia"/>
                <w:color w:val="auto"/>
                <w:highlight w:val="none"/>
                <w:lang w:val="en-US" w:eastAsia="zh-CN"/>
              </w:rPr>
              <w:t>双</w:t>
            </w:r>
            <w:r>
              <w:rPr>
                <w:rFonts w:hint="eastAsia"/>
                <w:color w:val="auto"/>
                <w:highlight w:val="none"/>
              </w:rPr>
              <w:t>电源冗余。加密流量（Mbps）不低于480Mbps，并发用户数不低于800</w:t>
            </w:r>
            <w:r>
              <w:rPr>
                <w:rFonts w:hint="eastAsia"/>
                <w:color w:val="auto"/>
                <w:highlight w:val="none"/>
                <w:lang w:val="en-US" w:eastAsia="zh-CN"/>
              </w:rPr>
              <w:t>人</w:t>
            </w:r>
            <w:r>
              <w:rPr>
                <w:rFonts w:hint="eastAsia"/>
                <w:color w:val="auto"/>
                <w:highlight w:val="none"/>
              </w:rPr>
              <w:t>，本次单台配置</w:t>
            </w:r>
            <w:r>
              <w:rPr>
                <w:rFonts w:hint="eastAsia"/>
                <w:color w:val="auto"/>
                <w:highlight w:val="none"/>
                <w:lang w:val="en-US" w:eastAsia="zh-CN"/>
              </w:rPr>
              <w:t>250</w:t>
            </w:r>
            <w:r>
              <w:rPr>
                <w:rFonts w:hint="eastAsia"/>
                <w:color w:val="auto"/>
                <w:highlight w:val="none"/>
              </w:rPr>
              <w:t>个并发用户接入授权，统一端点管理授权软件标准版（可支持PC）</w:t>
            </w:r>
            <w:r>
              <w:rPr>
                <w:rFonts w:hint="eastAsia"/>
                <w:color w:val="auto"/>
                <w:highlight w:val="none"/>
                <w:lang w:val="en-US" w:eastAsia="zh-CN"/>
              </w:rPr>
              <w:t>3</w:t>
            </w:r>
            <w:r>
              <w:rPr>
                <w:rFonts w:hint="eastAsia"/>
                <w:color w:val="auto"/>
                <w:highlight w:val="none"/>
              </w:rPr>
              <w:t>00个，统一端点管理授权软件移动版（可支</w:t>
            </w:r>
            <w:bookmarkEnd w:id="20"/>
            <w:bookmarkEnd w:id="21"/>
            <w:r>
              <w:rPr>
                <w:rFonts w:hint="eastAsia"/>
                <w:color w:val="auto"/>
                <w:highlight w:val="none"/>
              </w:rPr>
              <w:t>持移动端</w:t>
            </w:r>
            <w:r>
              <w:rPr>
                <w:rFonts w:hint="eastAsia"/>
                <w:color w:val="auto"/>
                <w:highlight w:val="none"/>
                <w:lang w:val="en-US" w:eastAsia="zh-CN"/>
              </w:rPr>
              <w:t>和平板电脑</w:t>
            </w:r>
            <w:r>
              <w:rPr>
                <w:rFonts w:hint="eastAsia"/>
                <w:color w:val="auto"/>
                <w:highlight w:val="none"/>
              </w:rPr>
              <w:t>）</w:t>
            </w:r>
            <w:r>
              <w:rPr>
                <w:rFonts w:hint="eastAsia"/>
                <w:color w:val="auto"/>
                <w:highlight w:val="none"/>
                <w:lang w:val="en-US" w:eastAsia="zh-CN"/>
              </w:rPr>
              <w:t>50</w:t>
            </w:r>
            <w:r>
              <w:rPr>
                <w:rFonts w:hint="eastAsia"/>
                <w:color w:val="auto"/>
                <w:highlight w:val="none"/>
              </w:rPr>
              <w:t>个。</w:t>
            </w:r>
            <w:r>
              <w:rPr>
                <w:rFonts w:hint="eastAsia"/>
                <w:color w:val="auto"/>
                <w:highlight w:val="none"/>
                <w:lang w:eastAsia="zh-CN"/>
              </w:rPr>
              <w:t>（</w:t>
            </w:r>
            <w:r>
              <w:rPr>
                <w:rFonts w:hint="eastAsia"/>
                <w:color w:val="auto"/>
                <w:highlight w:val="none"/>
              </w:rPr>
              <w:t>提供</w:t>
            </w:r>
            <w:r>
              <w:rPr>
                <w:rFonts w:hint="eastAsia"/>
                <w:color w:val="auto"/>
                <w:highlight w:val="none"/>
                <w:lang w:val="en-US" w:eastAsia="zh-CN"/>
              </w:rPr>
              <w:t>所投产品</w:t>
            </w:r>
            <w:r>
              <w:rPr>
                <w:rFonts w:hint="eastAsia" w:ascii="宋体" w:hAnsi="宋体" w:eastAsia="宋体" w:cs="宋体"/>
                <w:color w:val="auto"/>
                <w:sz w:val="21"/>
                <w:szCs w:val="21"/>
                <w:highlight w:val="none"/>
                <w:lang w:val="en-US" w:eastAsia="zh-CN"/>
              </w:rPr>
              <w:t>原</w:t>
            </w:r>
            <w:r>
              <w:rPr>
                <w:rFonts w:hint="eastAsia" w:cs="宋体"/>
                <w:color w:val="auto"/>
                <w:sz w:val="21"/>
                <w:szCs w:val="21"/>
                <w:highlight w:val="none"/>
                <w:lang w:val="en-US" w:eastAsia="zh-CN"/>
              </w:rPr>
              <w:t>厂商出具的承诺</w:t>
            </w:r>
            <w:r>
              <w:rPr>
                <w:rFonts w:hint="eastAsia" w:ascii="宋体" w:hAnsi="宋体" w:eastAsia="宋体" w:cs="宋体"/>
                <w:color w:val="auto"/>
                <w:sz w:val="21"/>
                <w:szCs w:val="21"/>
                <w:highlight w:val="none"/>
                <w:lang w:val="en-US" w:eastAsia="zh-CN"/>
              </w:rPr>
              <w:t>书</w:t>
            </w:r>
            <w:r>
              <w:rPr>
                <w:rFonts w:hint="eastAsia" w:cs="宋体"/>
                <w:color w:val="auto"/>
                <w:sz w:val="21"/>
                <w:szCs w:val="21"/>
                <w:highlight w:val="none"/>
                <w:lang w:val="en-US" w:eastAsia="zh-CN"/>
              </w:rPr>
              <w:t>）</w:t>
            </w:r>
          </w:p>
          <w:p w14:paraId="57EAB9E7">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★为了最大程度缩小网络、</w:t>
            </w:r>
            <w:bookmarkStart w:id="22" w:name="OLE_LINK169"/>
            <w:bookmarkStart w:id="23" w:name="OLE_LINK170"/>
            <w:r>
              <w:rPr>
                <w:rFonts w:hint="eastAsia"/>
                <w:color w:val="auto"/>
                <w:highlight w:val="none"/>
              </w:rPr>
              <w:t>业务暴露面，零信任平台需提供单包授权能力（SPA），支持UDP+TCP组合的单包授权技术，未授权用户无法连接零信任设备，无法扫描到服务端口，不会出现敲门放大漏洞。PC端和移动端均支持通过安全码激活客户端为授权客户端，从而可进行SPA敲门和连接，安全码支持共享码和一人一码两种模式，支持短信分发安全码，保障业务的安全性；（提供国家信息安全测评中心、公安部信息安全产品检测中心、中国泰尔实验室任一家国家权威机构相关证明材料或提供具备国家认证认可监督管理委员会认可的第三方</w:t>
            </w:r>
            <w:bookmarkEnd w:id="22"/>
            <w:bookmarkEnd w:id="23"/>
            <w:r>
              <w:rPr>
                <w:rFonts w:hint="eastAsia"/>
                <w:color w:val="auto"/>
                <w:highlight w:val="none"/>
              </w:rPr>
              <w:t>检测报告）</w:t>
            </w:r>
          </w:p>
          <w:p w14:paraId="3CCDB66A">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strike w:val="0"/>
                <w:dstrike w:val="0"/>
                <w:color w:val="auto"/>
                <w:highlight w:val="none"/>
              </w:rPr>
              <w:t>★</w:t>
            </w:r>
            <w:r>
              <w:rPr>
                <w:rFonts w:hint="eastAsia"/>
                <w:color w:val="auto"/>
                <w:highlight w:val="none"/>
              </w:rPr>
              <w:t>支持</w:t>
            </w:r>
            <w:bookmarkStart w:id="24" w:name="OLE_LINK172"/>
            <w:bookmarkStart w:id="25" w:name="OLE_LINK171"/>
            <w:r>
              <w:rPr>
                <w:rFonts w:hint="eastAsia"/>
                <w:color w:val="auto"/>
                <w:highlight w:val="none"/>
              </w:rPr>
              <w:t>安卓、鸿蒙Next</w:t>
            </w:r>
            <w:r>
              <w:rPr>
                <w:rFonts w:hint="eastAsia"/>
                <w:color w:val="auto"/>
                <w:highlight w:val="none"/>
                <w:lang w:val="en-US" w:eastAsia="zh-CN"/>
              </w:rPr>
              <w:t>等</w:t>
            </w:r>
            <w:r>
              <w:rPr>
                <w:rFonts w:hint="eastAsia"/>
                <w:color w:val="auto"/>
                <w:highlight w:val="none"/>
              </w:rPr>
              <w:t>手机APP集成零信任SDK，从而实现安全接入、沙箱等功能，避免单独安装零信任手机客户端，提</w:t>
            </w:r>
            <w:bookmarkEnd w:id="24"/>
            <w:bookmarkEnd w:id="25"/>
            <w:r>
              <w:rPr>
                <w:rFonts w:hint="eastAsia"/>
                <w:color w:val="auto"/>
                <w:highlight w:val="none"/>
              </w:rPr>
              <w:t>升用户使用体验(提供设备操作界面截图证明材料)；</w:t>
            </w:r>
          </w:p>
          <w:p w14:paraId="3B80AABD">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★为满足PC端数</w:t>
            </w:r>
            <w:bookmarkStart w:id="26" w:name="OLE_LINK164"/>
            <w:bookmarkStart w:id="27" w:name="OLE_LINK165"/>
            <w:r>
              <w:rPr>
                <w:rFonts w:hint="eastAsia"/>
                <w:color w:val="auto"/>
                <w:highlight w:val="none"/>
              </w:rPr>
              <w:t>据防泄密需求，零信任平台需支持在PC终端上基于沙箱技术生成隔离的安全工作空间（非容器类型），且无需再额外搭建服务端设备、组件。PC沙箱应支持Windows系统、macOS系统、统信UOS、麒麟</w:t>
            </w:r>
            <w:bookmarkEnd w:id="26"/>
            <w:bookmarkEnd w:id="27"/>
            <w:r>
              <w:rPr>
                <w:rFonts w:hint="eastAsia"/>
                <w:color w:val="auto"/>
                <w:highlight w:val="none"/>
              </w:rPr>
              <w:t>Kylin、中科方德等国产化系统(提供设备操作界面截图证明材料)；</w:t>
            </w:r>
          </w:p>
          <w:p w14:paraId="10F0190E">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★支持对工作空间添加屏幕水印；支持为工作空间配置禁止截屏策略；支持工作空间内允许截屏时，或对工作空间拍照时，截图和照片带有水印信息(提供设备操作界面截图证明材料)</w:t>
            </w:r>
            <w:r>
              <w:rPr>
                <w:rFonts w:hint="eastAsia"/>
                <w:color w:val="auto"/>
                <w:highlight w:val="none"/>
                <w:lang w:eastAsia="zh-CN"/>
              </w:rPr>
              <w:t>；</w:t>
            </w:r>
          </w:p>
          <w:p w14:paraId="49C65B6B">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强化系统认证安全性，产品支持多因素认证（本地账号认证+支持短信认证）。可配置在触发异常环境的条件时，用户需完成增强认证才可登录。可配置的异常环境包括但不限于:帐号首次登录、帐号在该终端首次登录、闲置帐号登录、弱密码登录、异常时间登录、非常用地点登录等(提供设备操作界面截图证明材料)；</w:t>
            </w:r>
          </w:p>
          <w:p w14:paraId="527F30B3">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统一端点管理授权软件：文件加密支持“一文一密”即每个文件独立密钥，以确保沙箱组件被卸载、模块驱动被摘除的情况下，终端用户仍无法明文取出文件(提供设备操作界面截图证明材料)；</w:t>
            </w:r>
          </w:p>
          <w:p w14:paraId="63615D59">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方便用户快速切换使用新的远程接入方式，应支持用户在打开单位原VPN客户端时直接升级成本次零信任客户端来登录访问业务，管理员可以自行通过配置决定升级完成后是否卸载原VPN客户端(提供设备操作界面截图证明材料)或者所投</w:t>
            </w:r>
            <w:r>
              <w:rPr>
                <w:rFonts w:hint="eastAsia"/>
                <w:color w:val="auto"/>
                <w:highlight w:val="none"/>
                <w:lang w:val="en-US" w:eastAsia="zh-CN"/>
              </w:rPr>
              <w:t>品牌</w:t>
            </w:r>
            <w:r>
              <w:rPr>
                <w:rFonts w:hint="eastAsia"/>
                <w:color w:val="auto"/>
                <w:highlight w:val="none"/>
              </w:rPr>
              <w:t>原厂商通过定制方式解决，提供所投</w:t>
            </w:r>
            <w:r>
              <w:rPr>
                <w:rFonts w:hint="eastAsia"/>
                <w:color w:val="auto"/>
                <w:highlight w:val="none"/>
                <w:lang w:val="en-US" w:eastAsia="zh-CN"/>
              </w:rPr>
              <w:t>品牌</w:t>
            </w:r>
            <w:r>
              <w:rPr>
                <w:rFonts w:hint="eastAsia"/>
                <w:color w:val="auto"/>
                <w:highlight w:val="none"/>
              </w:rPr>
              <w:t>原厂商定制服务承诺函，定制所产生的费用由投标人承担;</w:t>
            </w:r>
          </w:p>
          <w:p w14:paraId="0014F310">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了保障系统的稳定性，集群节点故障后剩余节点仍能接管所有业务，本地集群需支持授权漂移机制：集群中的单节点故障后，集群的总授权数跟故障前保持一致。（提供国家信息安全测评中心、公安部信息安全产品检测中心、中国泰尔实验室任一家国家权威机构相关证明材料或提供具备国家认证认可监督管理委员会认可的第三方检测报告）</w:t>
            </w:r>
          </w:p>
          <w:p w14:paraId="0B69198D">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为有效防止木马入侵系统后攻击服务器，零信任系统内置了一些常见攻击工具进程黑名单，管理员可基于内置的名单进行增减，匹配上此名单的进程访问零信任系统时会被打上标签，以方便快速定位排查问题终端</w:t>
            </w:r>
            <w:bookmarkStart w:id="28" w:name="OLE_LINK148"/>
            <w:bookmarkStart w:id="29" w:name="OLE_LINK149"/>
            <w:bookmarkStart w:id="30" w:name="OLE_LINK166"/>
            <w:r>
              <w:rPr>
                <w:rFonts w:hint="eastAsia"/>
                <w:color w:val="auto"/>
                <w:highlight w:val="none"/>
              </w:rPr>
              <w:t>(提供设备操作界面截图证明材料)</w:t>
            </w:r>
            <w:bookmarkEnd w:id="28"/>
            <w:bookmarkEnd w:id="29"/>
            <w:bookmarkEnd w:id="30"/>
            <w:r>
              <w:rPr>
                <w:rFonts w:hint="eastAsia"/>
                <w:color w:val="auto"/>
                <w:highlight w:val="none"/>
              </w:rPr>
              <w:t>。</w:t>
            </w:r>
          </w:p>
          <w:p w14:paraId="4FFD4F47">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支持将具有异常登录行为的用户日志自动打标签为用户安全日志，以便于管理员快速审计定位。用户安全日志包括但不限于：账号安全、中间人攻击、SPA安全、cookie劫持等(提供设备操作界面截图证明材料)；</w:t>
            </w:r>
          </w:p>
          <w:p w14:paraId="4F974B9D">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支持配置企业的CDN作为零信任客户端下载地址，以降低设备本身的非业务访问带宽压力</w:t>
            </w:r>
            <w:bookmarkStart w:id="31" w:name="OLE_LINK145"/>
            <w:bookmarkStart w:id="32" w:name="OLE_LINK144"/>
            <w:r>
              <w:rPr>
                <w:rFonts w:hint="eastAsia"/>
                <w:color w:val="auto"/>
                <w:highlight w:val="none"/>
              </w:rPr>
              <w:t>(提供设备操作界面截图证明材料)</w:t>
            </w:r>
            <w:bookmarkEnd w:id="31"/>
            <w:bookmarkEnd w:id="32"/>
            <w:r>
              <w:rPr>
                <w:rFonts w:hint="eastAsia"/>
                <w:color w:val="auto"/>
                <w:highlight w:val="none"/>
              </w:rPr>
              <w:t>；</w:t>
            </w:r>
          </w:p>
          <w:p w14:paraId="4428AE4E">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为保证零信任产品的架构规范性，所投零信任产品型号应提供中国信通院认证的零信任SDP设备Zero Trust Ready证书</w:t>
            </w:r>
            <w:r>
              <w:rPr>
                <w:rFonts w:hint="eastAsia"/>
                <w:color w:val="auto"/>
                <w:highlight w:val="none"/>
                <w:lang w:eastAsia="zh-CN"/>
              </w:rPr>
              <w:t>；</w:t>
            </w:r>
          </w:p>
          <w:p w14:paraId="3DACA9E0">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rPr>
            </w:pPr>
            <w:r>
              <w:rPr>
                <w:rFonts w:hint="eastAsia"/>
                <w:color w:val="auto"/>
                <w:highlight w:val="none"/>
              </w:rPr>
              <w:t>★为证明所投产品的自身安全性，所投零信任产品型号应具备国家计算机网络应急技术处理协调中心出具的安全众测无漏洞证明文件；</w:t>
            </w:r>
          </w:p>
          <w:p w14:paraId="4BE798EB">
            <w:pPr>
              <w:keepNext w:val="0"/>
              <w:keepLines w:val="0"/>
              <w:pageBreakBefore w:val="0"/>
              <w:widowControl w:val="0"/>
              <w:numPr>
                <w:ilvl w:val="0"/>
                <w:numId w:val="8"/>
              </w:numPr>
              <w:kinsoku/>
              <w:wordWrap/>
              <w:overflowPunct/>
              <w:topLinePunct w:val="0"/>
              <w:autoSpaceDE/>
              <w:autoSpaceDN/>
              <w:bidi w:val="0"/>
              <w:adjustRightInd/>
              <w:snapToGrid/>
              <w:ind w:left="0" w:leftChars="0" w:firstLine="210" w:firstLineChars="100"/>
              <w:jc w:val="both"/>
              <w:textAlignment w:val="auto"/>
              <w:rPr>
                <w:rFonts w:hint="eastAsia"/>
                <w:color w:val="auto"/>
                <w:highlight w:val="none"/>
                <w:lang w:val="en-US" w:eastAsia="zh-CN"/>
              </w:rPr>
            </w:pPr>
            <w:r>
              <w:rPr>
                <w:rFonts w:hint="eastAsia"/>
                <w:color w:val="auto"/>
                <w:highlight w:val="none"/>
              </w:rPr>
              <w:t>投标人须保证所投的所有产品归属于“安徽新安银行股份有限公司”，投标时须提供所投品牌原厂商出具的授权书和售后服务承诺函，并加盖所投品牌原厂商公章。</w:t>
            </w:r>
            <w:r>
              <w:rPr>
                <w:rFonts w:hint="eastAsia"/>
                <w:strike w:val="0"/>
                <w:dstrike w:val="0"/>
                <w:color w:val="auto"/>
                <w:highlight w:val="none"/>
                <w:lang w:val="en-US" w:eastAsia="zh-CN"/>
              </w:rPr>
              <w:t>产品</w:t>
            </w:r>
            <w:r>
              <w:rPr>
                <w:rFonts w:hint="eastAsia"/>
                <w:color w:val="auto"/>
                <w:highlight w:val="none"/>
              </w:rPr>
              <w:t>保修信息在所投品牌</w:t>
            </w:r>
            <w:r>
              <w:rPr>
                <w:rFonts w:hint="eastAsia"/>
                <w:color w:val="auto"/>
                <w:highlight w:val="none"/>
                <w:lang w:val="en-US" w:eastAsia="zh-CN"/>
              </w:rPr>
              <w:t>原厂</w:t>
            </w:r>
            <w:r>
              <w:rPr>
                <w:rFonts w:hint="eastAsia"/>
                <w:color w:val="auto"/>
                <w:highlight w:val="none"/>
              </w:rPr>
              <w:t>商维保售后系统中，客户方必须为招标人单位</w:t>
            </w:r>
            <w:r>
              <w:rPr>
                <w:rFonts w:hint="eastAsia"/>
                <w:color w:val="auto"/>
                <w:highlight w:val="none"/>
                <w:lang w:eastAsia="zh-CN"/>
              </w:rPr>
              <w:t>。</w:t>
            </w:r>
            <w:r>
              <w:rPr>
                <w:rFonts w:hint="eastAsia"/>
                <w:color w:val="auto"/>
                <w:highlight w:val="none"/>
              </w:rPr>
              <w:t>服务要求:至少3年7×24小时原厂</w:t>
            </w:r>
            <w:r>
              <w:rPr>
                <w:rFonts w:hint="eastAsia"/>
                <w:color w:val="auto"/>
                <w:highlight w:val="none"/>
                <w:lang w:val="en-US" w:eastAsia="zh-CN"/>
              </w:rPr>
              <w:t>商</w:t>
            </w:r>
            <w:r>
              <w:rPr>
                <w:rFonts w:hint="eastAsia"/>
                <w:color w:val="auto"/>
                <w:highlight w:val="none"/>
              </w:rPr>
              <w:t>维保服务。维保期间每季度提供巡检</w:t>
            </w:r>
            <w:r>
              <w:rPr>
                <w:rFonts w:hint="eastAsia"/>
                <w:color w:val="auto"/>
                <w:highlight w:val="none"/>
                <w:lang w:eastAsia="zh-CN"/>
              </w:rPr>
              <w:t>、</w:t>
            </w:r>
            <w:r>
              <w:rPr>
                <w:rFonts w:hint="eastAsia"/>
                <w:color w:val="auto"/>
                <w:highlight w:val="none"/>
                <w:lang w:val="en-US" w:eastAsia="zh-CN"/>
              </w:rPr>
              <w:t>系统版本和漏洞版本升级</w:t>
            </w:r>
            <w:r>
              <w:rPr>
                <w:rFonts w:hint="eastAsia"/>
                <w:color w:val="auto"/>
                <w:highlight w:val="none"/>
              </w:rPr>
              <w:t>，并出具报告</w:t>
            </w:r>
            <w:r>
              <w:rPr>
                <w:rFonts w:hint="eastAsia"/>
                <w:strike w:val="0"/>
                <w:dstrike w:val="0"/>
                <w:color w:val="auto"/>
                <w:highlight w:val="none"/>
              </w:rPr>
              <w:t>。</w:t>
            </w:r>
          </w:p>
        </w:tc>
        <w:tc>
          <w:tcPr>
            <w:tcW w:w="775" w:type="dxa"/>
            <w:vAlign w:val="center"/>
          </w:tcPr>
          <w:p w14:paraId="62D871D7">
            <w:pPr>
              <w:bidi w:val="0"/>
              <w:jc w:val="center"/>
              <w:rPr>
                <w:rFonts w:hint="default"/>
                <w:color w:val="auto"/>
                <w:highlight w:val="none"/>
                <w:lang w:val="en-US" w:eastAsia="zh-CN"/>
              </w:rPr>
            </w:pPr>
            <w:r>
              <w:rPr>
                <w:rFonts w:hint="eastAsia"/>
                <w:color w:val="auto"/>
                <w:highlight w:val="none"/>
                <w:lang w:val="en-US" w:eastAsia="zh-CN"/>
              </w:rPr>
              <w:t>1台</w:t>
            </w:r>
          </w:p>
        </w:tc>
      </w:tr>
    </w:tbl>
    <w:p w14:paraId="20BAB6B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auto"/>
          <w:highlight w:val="none"/>
        </w:rPr>
      </w:pPr>
      <w:r>
        <w:rPr>
          <w:rFonts w:hint="eastAsia"/>
          <w:b/>
          <w:bCs/>
          <w:color w:val="auto"/>
          <w:highlight w:val="none"/>
        </w:rPr>
        <w:t>（二）系统集成要求</w:t>
      </w:r>
    </w:p>
    <w:p w14:paraId="29EBD4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color w:val="auto"/>
          <w:highlight w:val="none"/>
        </w:rPr>
        <w:t>1.</w:t>
      </w:r>
      <w:r>
        <w:rPr>
          <w:rFonts w:hint="eastAsia" w:ascii="宋体" w:hAnsi="宋体" w:eastAsia="宋体" w:cs="宋体"/>
          <w:b w:val="0"/>
          <w:bCs/>
          <w:color w:val="auto"/>
          <w:kern w:val="2"/>
          <w:sz w:val="21"/>
          <w:szCs w:val="21"/>
          <w:highlight w:val="none"/>
          <w:lang w:val="en-US" w:eastAsia="zh-CN" w:bidi="ar-SA"/>
        </w:rPr>
        <w:t>投标人投标报价为全包总价，包含设备及配套辅材、运输、安装调试、人工、税费、售后等全部相关费用，中标后招标人无需另行支付任何额外费用，投标人报价时须自行综合统筹考虑。投标文件中须提供本次采购产品分项报价清单及对应税率明细。</w:t>
      </w:r>
    </w:p>
    <w:p w14:paraId="1412E6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2.</w:t>
      </w:r>
      <w:r>
        <w:rPr>
          <w:rFonts w:hint="eastAsia"/>
          <w:color w:val="auto"/>
          <w:highlight w:val="none"/>
        </w:rPr>
        <w:t>采购需求中要求提供的证明，</w:t>
      </w:r>
      <w:r>
        <w:rPr>
          <w:rFonts w:hint="eastAsia"/>
          <w:color w:val="auto"/>
          <w:highlight w:val="none"/>
          <w:lang w:val="en-US" w:eastAsia="zh-CN"/>
        </w:rPr>
        <w:t>必要时</w:t>
      </w:r>
      <w:r>
        <w:rPr>
          <w:rFonts w:hint="eastAsia"/>
          <w:color w:val="auto"/>
          <w:highlight w:val="none"/>
        </w:rPr>
        <w:t>招标人有权要求中标人在合同签订前提供产品功能验证，中标人不提供或拒绝提供的，招标人有权拒绝签订合同，因此造成的损失由中标人承担</w:t>
      </w:r>
      <w:r>
        <w:rPr>
          <w:rFonts w:hint="eastAsia"/>
          <w:color w:val="auto"/>
          <w:highlight w:val="none"/>
          <w:lang w:eastAsia="zh-CN"/>
        </w:rPr>
        <w:t>。</w:t>
      </w:r>
    </w:p>
    <w:p w14:paraId="4E4A0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项目实施要求：投标人中标后须按规范完成全流程实施工作：先在我行数据中心机房完成本次零信任设备进场安装、调试及上线部署；再对我行现有在网 VPN 设备配置进行梳理、迁移及优化，采取分时、分批次方式，将原有 VPN 设备配置及安全策略平滑迁移至全新零信任设备，保障业务不间断、网络无中断平稳切换。</w:t>
      </w:r>
    </w:p>
    <w:p w14:paraId="0469638B">
      <w:pPr>
        <w:pStyle w:val="3"/>
        <w:bidi w:val="0"/>
        <w:rPr>
          <w:rFonts w:hint="eastAsia"/>
          <w:color w:val="auto"/>
          <w:highlight w:val="none"/>
        </w:rPr>
      </w:pPr>
      <w:bookmarkStart w:id="33" w:name="_Toc1937"/>
      <w:bookmarkStart w:id="34" w:name="_Toc5027"/>
      <w:bookmarkStart w:id="35" w:name="_Toc18103"/>
      <w:bookmarkStart w:id="36" w:name="_Toc15800"/>
      <w:bookmarkStart w:id="37" w:name="_Toc12137"/>
      <w:r>
        <w:rPr>
          <w:rFonts w:hint="eastAsia"/>
          <w:color w:val="auto"/>
          <w:highlight w:val="none"/>
        </w:rPr>
        <w:t>第五部分 投标文件</w:t>
      </w:r>
      <w:r>
        <w:rPr>
          <w:rFonts w:hint="eastAsia"/>
          <w:color w:val="auto"/>
          <w:highlight w:val="none"/>
          <w:lang w:val="en-US" w:eastAsia="zh-CN"/>
        </w:rPr>
        <w:t>格式</w:t>
      </w:r>
      <w:r>
        <w:rPr>
          <w:rFonts w:hint="eastAsia"/>
          <w:color w:val="auto"/>
          <w:highlight w:val="none"/>
        </w:rPr>
        <w:t>装订顺序</w:t>
      </w:r>
      <w:bookmarkEnd w:id="33"/>
      <w:bookmarkEnd w:id="34"/>
      <w:bookmarkEnd w:id="35"/>
      <w:bookmarkEnd w:id="36"/>
      <w:bookmarkEnd w:id="37"/>
    </w:p>
    <w:p w14:paraId="40A07C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lang w:val="en-US" w:eastAsia="zh-CN"/>
        </w:rPr>
        <w:t>投标人提交的投标文件须按以下顺序规范装订，且须完整包含以下全部内容（缺项、漏项将按招标文件相关规定处理）：</w:t>
      </w:r>
    </w:p>
    <w:p w14:paraId="24F80D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1、采购响应函；</w:t>
      </w:r>
    </w:p>
    <w:p w14:paraId="5094D8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trike/>
          <w:dstrike w:val="0"/>
          <w:color w:val="auto"/>
          <w:highlight w:val="none"/>
        </w:rPr>
      </w:pPr>
      <w:r>
        <w:rPr>
          <w:rFonts w:hint="eastAsia"/>
          <w:color w:val="auto"/>
          <w:highlight w:val="none"/>
        </w:rPr>
        <w:t>2、</w:t>
      </w:r>
      <w:r>
        <w:rPr>
          <w:rFonts w:hint="eastAsia"/>
          <w:strike w:val="0"/>
          <w:dstrike w:val="0"/>
          <w:color w:val="auto"/>
          <w:highlight w:val="none"/>
          <w:lang w:val="en-US" w:eastAsia="zh-CN"/>
        </w:rPr>
        <w:t>报价</w:t>
      </w:r>
      <w:r>
        <w:rPr>
          <w:rFonts w:hint="eastAsia"/>
          <w:strike w:val="0"/>
          <w:dstrike w:val="0"/>
          <w:color w:val="auto"/>
          <w:highlight w:val="none"/>
        </w:rPr>
        <w:t>表；</w:t>
      </w:r>
    </w:p>
    <w:p w14:paraId="7E490D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highlight w:val="none"/>
          <w:lang w:val="en-US" w:eastAsia="zh-CN"/>
        </w:rPr>
      </w:pPr>
      <w:r>
        <w:rPr>
          <w:rFonts w:hint="eastAsia"/>
          <w:color w:val="auto"/>
          <w:highlight w:val="none"/>
        </w:rPr>
        <w:t>3、法定代表人</w:t>
      </w:r>
      <w:r>
        <w:rPr>
          <w:rFonts w:hint="eastAsia"/>
          <w:color w:val="auto"/>
          <w:highlight w:val="none"/>
          <w:lang w:eastAsia="zh-CN"/>
        </w:rPr>
        <w:t>（</w:t>
      </w:r>
      <w:r>
        <w:rPr>
          <w:rFonts w:hint="eastAsia"/>
          <w:color w:val="auto"/>
          <w:highlight w:val="none"/>
          <w:lang w:val="en-US" w:eastAsia="zh-CN"/>
        </w:rPr>
        <w:t>单位负责人</w:t>
      </w:r>
      <w:r>
        <w:rPr>
          <w:rFonts w:hint="eastAsia"/>
          <w:color w:val="auto"/>
          <w:highlight w:val="none"/>
          <w:lang w:eastAsia="zh-CN"/>
        </w:rPr>
        <w:t>）</w:t>
      </w:r>
      <w:r>
        <w:rPr>
          <w:rFonts w:hint="eastAsia"/>
          <w:color w:val="auto"/>
          <w:highlight w:val="none"/>
          <w:lang w:val="en-US" w:eastAsia="zh-CN"/>
        </w:rPr>
        <w:t>身份证明；</w:t>
      </w:r>
    </w:p>
    <w:p w14:paraId="7B2BE1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4、授权委托书；</w:t>
      </w:r>
    </w:p>
    <w:p w14:paraId="495CD9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5、</w:t>
      </w:r>
      <w:r>
        <w:rPr>
          <w:rFonts w:hint="eastAsia"/>
          <w:color w:val="auto"/>
          <w:highlight w:val="none"/>
          <w:lang w:val="en-US" w:eastAsia="zh-CN"/>
        </w:rPr>
        <w:t>资格审查资料</w:t>
      </w:r>
      <w:r>
        <w:rPr>
          <w:rFonts w:hint="eastAsia"/>
          <w:color w:val="auto"/>
          <w:highlight w:val="none"/>
        </w:rPr>
        <w:t>；</w:t>
      </w:r>
    </w:p>
    <w:p w14:paraId="4DF8A7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6、</w:t>
      </w:r>
      <w:r>
        <w:rPr>
          <w:rFonts w:hint="eastAsia"/>
          <w:color w:val="auto"/>
          <w:highlight w:val="none"/>
          <w:lang w:val="en-US" w:eastAsia="zh-CN"/>
        </w:rPr>
        <w:t>供应商廉洁承诺书</w:t>
      </w:r>
      <w:r>
        <w:rPr>
          <w:rFonts w:hint="eastAsia"/>
          <w:color w:val="auto"/>
          <w:highlight w:val="none"/>
        </w:rPr>
        <w:t>；</w:t>
      </w:r>
    </w:p>
    <w:p w14:paraId="2EC5E8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7、</w:t>
      </w:r>
      <w:r>
        <w:rPr>
          <w:rFonts w:hint="eastAsia"/>
          <w:color w:val="auto"/>
          <w:highlight w:val="none"/>
          <w:lang w:val="en-US" w:eastAsia="zh-CN"/>
        </w:rPr>
        <w:t>投标承诺书</w:t>
      </w:r>
      <w:r>
        <w:rPr>
          <w:rFonts w:hint="eastAsia"/>
          <w:color w:val="auto"/>
          <w:highlight w:val="none"/>
        </w:rPr>
        <w:t>；</w:t>
      </w:r>
    </w:p>
    <w:p w14:paraId="0C8B9A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8、</w:t>
      </w:r>
      <w:r>
        <w:rPr>
          <w:rFonts w:hint="eastAsia"/>
          <w:color w:val="auto"/>
          <w:highlight w:val="none"/>
          <w:lang w:val="en-US" w:eastAsia="zh-CN"/>
        </w:rPr>
        <w:t>投标人信用承诺</w:t>
      </w:r>
      <w:r>
        <w:rPr>
          <w:rFonts w:hint="eastAsia"/>
          <w:color w:val="auto"/>
          <w:highlight w:val="none"/>
        </w:rPr>
        <w:t>；</w:t>
      </w:r>
    </w:p>
    <w:p w14:paraId="0802AB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9、</w:t>
      </w:r>
      <w:r>
        <w:rPr>
          <w:rFonts w:hint="eastAsia"/>
          <w:color w:val="auto"/>
          <w:highlight w:val="none"/>
          <w:lang w:val="en-US" w:eastAsia="zh-CN"/>
        </w:rPr>
        <w:t>技术参数响应（偏离）表；</w:t>
      </w:r>
    </w:p>
    <w:p w14:paraId="2F8956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10、</w:t>
      </w:r>
      <w:r>
        <w:rPr>
          <w:rFonts w:hint="eastAsia"/>
          <w:color w:val="auto"/>
          <w:highlight w:val="none"/>
          <w:lang w:val="en-US" w:eastAsia="zh-CN"/>
        </w:rPr>
        <w:t>评审指标对应资料</w:t>
      </w:r>
      <w:r>
        <w:rPr>
          <w:rFonts w:hint="eastAsia"/>
          <w:color w:val="auto"/>
          <w:highlight w:val="none"/>
        </w:rPr>
        <w:t>；</w:t>
      </w:r>
    </w:p>
    <w:p w14:paraId="75AE75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11、投标人认为需要提供的其他</w:t>
      </w:r>
      <w:r>
        <w:rPr>
          <w:rFonts w:hint="eastAsia"/>
          <w:color w:val="auto"/>
          <w:highlight w:val="none"/>
          <w:lang w:val="en-US" w:eastAsia="zh-CN"/>
        </w:rPr>
        <w:t>补充</w:t>
      </w:r>
      <w:r>
        <w:rPr>
          <w:rFonts w:hint="eastAsia"/>
          <w:color w:val="auto"/>
          <w:highlight w:val="none"/>
        </w:rPr>
        <w:t>资料</w:t>
      </w:r>
      <w:r>
        <w:rPr>
          <w:rFonts w:hint="eastAsia"/>
          <w:color w:val="auto"/>
          <w:highlight w:val="none"/>
          <w:lang w:eastAsia="zh-CN"/>
        </w:rPr>
        <w:t>；</w:t>
      </w:r>
    </w:p>
    <w:p w14:paraId="5E46899C">
      <w:pPr>
        <w:rPr>
          <w:rFonts w:hint="eastAsia"/>
          <w:color w:val="auto"/>
          <w:highlight w:val="none"/>
        </w:rPr>
      </w:pPr>
    </w:p>
    <w:p w14:paraId="7770DEA6">
      <w:pPr>
        <w:pStyle w:val="3"/>
        <w:bidi w:val="0"/>
        <w:rPr>
          <w:rFonts w:hint="eastAsia"/>
          <w:color w:val="auto"/>
          <w:highlight w:val="none"/>
        </w:rPr>
      </w:pPr>
      <w:bookmarkStart w:id="38" w:name="_Toc15977"/>
      <w:bookmarkStart w:id="39" w:name="_Toc30919"/>
      <w:bookmarkStart w:id="40" w:name="_Toc32226"/>
      <w:bookmarkStart w:id="41" w:name="_Toc14110"/>
      <w:bookmarkStart w:id="42" w:name="_Toc9462"/>
      <w:r>
        <w:rPr>
          <w:rFonts w:hint="eastAsia"/>
          <w:color w:val="auto"/>
          <w:highlight w:val="none"/>
        </w:rPr>
        <w:t>第六部分 相关文件格式</w:t>
      </w:r>
      <w:bookmarkEnd w:id="38"/>
      <w:bookmarkEnd w:id="39"/>
      <w:bookmarkEnd w:id="40"/>
      <w:bookmarkEnd w:id="41"/>
      <w:bookmarkEnd w:id="42"/>
    </w:p>
    <w:p w14:paraId="37508448">
      <w:pPr>
        <w:rPr>
          <w:rFonts w:hint="eastAsia" w:ascii="宋体" w:hAnsi="宋体" w:eastAsia="宋体" w:cs="宋体"/>
          <w:color w:val="auto"/>
          <w:sz w:val="24"/>
          <w:szCs w:val="24"/>
          <w:highlight w:val="none"/>
        </w:rPr>
      </w:pPr>
    </w:p>
    <w:p w14:paraId="65EAB7A3">
      <w:pPr>
        <w:rPr>
          <w:rFonts w:hint="eastAsia" w:ascii="宋体" w:hAnsi="宋体" w:eastAsia="宋体" w:cs="宋体"/>
          <w:color w:val="auto"/>
          <w:sz w:val="24"/>
          <w:szCs w:val="24"/>
          <w:highlight w:val="none"/>
        </w:rPr>
      </w:pPr>
    </w:p>
    <w:p w14:paraId="01C48A78">
      <w:pPr>
        <w:rPr>
          <w:rFonts w:hint="eastAsia" w:ascii="宋体" w:hAnsi="宋体" w:eastAsia="宋体" w:cs="宋体"/>
          <w:color w:val="auto"/>
          <w:sz w:val="24"/>
          <w:szCs w:val="24"/>
          <w:highlight w:val="none"/>
        </w:rPr>
      </w:pPr>
    </w:p>
    <w:p w14:paraId="6AD0C12D">
      <w:pPr>
        <w:rPr>
          <w:rFonts w:hint="eastAsia" w:ascii="宋体" w:hAnsi="宋体" w:eastAsia="宋体" w:cs="宋体"/>
          <w:color w:val="auto"/>
          <w:sz w:val="24"/>
          <w:szCs w:val="24"/>
          <w:highlight w:val="none"/>
        </w:rPr>
      </w:pPr>
    </w:p>
    <w:p w14:paraId="0FC77AC5">
      <w:pPr>
        <w:spacing w:after="0" w:line="360" w:lineRule="auto"/>
        <w:ind w:firstLine="560" w:firstLineChars="200"/>
        <w:jc w:val="center"/>
        <w:rPr>
          <w:rFonts w:hint="eastAsia" w:ascii="宋体" w:hAnsi="宋体" w:eastAsia="宋体" w:cs="宋体"/>
          <w:color w:val="auto"/>
          <w:sz w:val="28"/>
          <w:szCs w:val="28"/>
          <w:highlight w:val="none"/>
          <w:lang w:val="en-US" w:eastAsia="zh-CN"/>
        </w:rPr>
      </w:pPr>
      <w:r>
        <w:rPr>
          <w:rFonts w:hint="eastAsia" w:cs="宋体"/>
          <w:color w:val="auto"/>
          <w:sz w:val="28"/>
          <w:szCs w:val="28"/>
          <w:highlight w:val="none"/>
          <w:lang w:val="en-US" w:eastAsia="zh-CN"/>
        </w:rPr>
        <w:t>安徽</w:t>
      </w:r>
      <w:r>
        <w:rPr>
          <w:rFonts w:hint="eastAsia" w:ascii="宋体" w:hAnsi="宋体" w:eastAsia="宋体" w:cs="宋体"/>
          <w:color w:val="auto"/>
          <w:sz w:val="28"/>
          <w:szCs w:val="28"/>
          <w:highlight w:val="none"/>
          <w:lang w:val="en-US" w:eastAsia="zh-CN"/>
        </w:rPr>
        <w:t>新安银行零信任设备采购项目</w:t>
      </w:r>
    </w:p>
    <w:p w14:paraId="132F1DA8">
      <w:pPr>
        <w:jc w:val="both"/>
        <w:rPr>
          <w:rFonts w:hint="eastAsia" w:ascii="宋体" w:hAnsi="宋体" w:eastAsia="宋体" w:cs="宋体"/>
          <w:color w:val="auto"/>
          <w:sz w:val="28"/>
          <w:szCs w:val="28"/>
          <w:highlight w:val="none"/>
          <w:u w:val="none"/>
          <w:lang w:eastAsia="zh-CN"/>
        </w:rPr>
      </w:pPr>
    </w:p>
    <w:p w14:paraId="62084C9C">
      <w:pPr>
        <w:jc w:val="both"/>
        <w:rPr>
          <w:rFonts w:hint="eastAsia" w:ascii="宋体" w:hAnsi="宋体" w:eastAsia="宋体" w:cs="宋体"/>
          <w:color w:val="auto"/>
          <w:sz w:val="28"/>
          <w:szCs w:val="28"/>
          <w:highlight w:val="none"/>
          <w:u w:val="none"/>
          <w:lang w:eastAsia="zh-CN"/>
        </w:rPr>
      </w:pPr>
    </w:p>
    <w:p w14:paraId="70845D83">
      <w:pPr>
        <w:jc w:val="both"/>
        <w:rPr>
          <w:rFonts w:hint="eastAsia" w:ascii="宋体" w:hAnsi="宋体" w:eastAsia="宋体" w:cs="宋体"/>
          <w:color w:val="auto"/>
          <w:sz w:val="28"/>
          <w:szCs w:val="28"/>
          <w:highlight w:val="none"/>
          <w:u w:val="none"/>
          <w:lang w:eastAsia="zh-CN"/>
        </w:rPr>
      </w:pPr>
    </w:p>
    <w:p w14:paraId="6751BB64">
      <w:pPr>
        <w:spacing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54AA8E74">
      <w:pPr>
        <w:jc w:val="both"/>
        <w:rPr>
          <w:rFonts w:hint="eastAsia" w:ascii="宋体" w:hAnsi="宋体" w:eastAsia="宋体" w:cs="宋体"/>
          <w:color w:val="auto"/>
          <w:sz w:val="28"/>
          <w:szCs w:val="28"/>
          <w:highlight w:val="none"/>
          <w:u w:val="none"/>
          <w:lang w:eastAsia="zh-CN"/>
        </w:rPr>
      </w:pPr>
    </w:p>
    <w:p w14:paraId="6D54058F">
      <w:pPr>
        <w:jc w:val="both"/>
        <w:rPr>
          <w:rFonts w:hint="eastAsia" w:ascii="宋体" w:hAnsi="宋体" w:eastAsia="宋体" w:cs="宋体"/>
          <w:color w:val="auto"/>
          <w:sz w:val="28"/>
          <w:szCs w:val="28"/>
          <w:highlight w:val="none"/>
          <w:u w:val="none"/>
          <w:lang w:eastAsia="zh-CN"/>
        </w:rPr>
      </w:pPr>
    </w:p>
    <w:p w14:paraId="5CC2B855">
      <w:pPr>
        <w:jc w:val="both"/>
        <w:rPr>
          <w:rFonts w:hint="eastAsia" w:ascii="宋体" w:hAnsi="宋体" w:eastAsia="宋体" w:cs="宋体"/>
          <w:color w:val="auto"/>
          <w:sz w:val="28"/>
          <w:szCs w:val="28"/>
          <w:highlight w:val="none"/>
          <w:u w:val="none"/>
          <w:lang w:eastAsia="zh-CN"/>
        </w:rPr>
      </w:pPr>
    </w:p>
    <w:p w14:paraId="65AB95AA">
      <w:pPr>
        <w:jc w:val="both"/>
        <w:rPr>
          <w:rFonts w:hint="eastAsia" w:ascii="宋体" w:hAnsi="宋体" w:eastAsia="宋体" w:cs="宋体"/>
          <w:color w:val="auto"/>
          <w:sz w:val="28"/>
          <w:szCs w:val="28"/>
          <w:highlight w:val="none"/>
          <w:u w:val="none"/>
          <w:lang w:eastAsia="zh-CN"/>
        </w:rPr>
      </w:pPr>
    </w:p>
    <w:p w14:paraId="60D2154D">
      <w:pPr>
        <w:spacing w:after="0"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503527FC">
      <w:pPr>
        <w:spacing w:after="0" w:line="360" w:lineRule="auto"/>
        <w:rPr>
          <w:rFonts w:hint="eastAsia" w:ascii="宋体" w:hAnsi="宋体" w:eastAsia="宋体" w:cs="宋体"/>
          <w:color w:val="auto"/>
          <w:sz w:val="28"/>
          <w:szCs w:val="28"/>
          <w:highlight w:val="none"/>
        </w:rPr>
      </w:pPr>
    </w:p>
    <w:p w14:paraId="018EB145">
      <w:pPr>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（签字或者签章）</w:t>
      </w:r>
    </w:p>
    <w:p w14:paraId="4ECC7C3D">
      <w:pPr>
        <w:spacing w:after="0" w:line="360" w:lineRule="auto"/>
        <w:jc w:val="both"/>
        <w:rPr>
          <w:rFonts w:hint="eastAsia" w:ascii="宋体" w:hAnsi="宋体" w:eastAsia="宋体" w:cs="宋体"/>
          <w:color w:val="auto"/>
          <w:sz w:val="28"/>
          <w:szCs w:val="28"/>
          <w:highlight w:val="none"/>
        </w:rPr>
      </w:pPr>
    </w:p>
    <w:p w14:paraId="7EE13A88">
      <w:pPr>
        <w:spacing w:after="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27C0408">
      <w:pPr>
        <w:rPr>
          <w:rFonts w:hint="eastAsia"/>
          <w:color w:val="auto"/>
          <w:highlight w:val="none"/>
        </w:rPr>
      </w:pPr>
    </w:p>
    <w:p w14:paraId="238FEA76">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43" w:name="_Toc30184"/>
      <w:bookmarkStart w:id="44" w:name="_Toc28463"/>
      <w:bookmarkStart w:id="45" w:name="_Toc193"/>
      <w:bookmarkStart w:id="46" w:name="_Toc23551"/>
      <w:bookmarkStart w:id="47" w:name="_Toc6694"/>
      <w:r>
        <w:rPr>
          <w:rFonts w:hint="eastAsia" w:ascii="宋体" w:hAnsi="宋体" w:eastAsia="宋体" w:cs="宋体"/>
          <w:b/>
          <w:bCs/>
          <w:color w:val="auto"/>
          <w:sz w:val="21"/>
          <w:szCs w:val="21"/>
          <w:highlight w:val="none"/>
          <w:lang w:val="en-US" w:eastAsia="zh-CN"/>
        </w:rPr>
        <w:t>一、采购响应函</w:t>
      </w:r>
      <w:bookmarkEnd w:id="43"/>
      <w:bookmarkEnd w:id="44"/>
      <w:bookmarkEnd w:id="45"/>
      <w:bookmarkEnd w:id="46"/>
      <w:bookmarkEnd w:id="47"/>
    </w:p>
    <w:p w14:paraId="41BD0C7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致：安徽新安银行股份有限公司</w:t>
      </w:r>
    </w:p>
    <w:p w14:paraId="100AF608">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安徽</w:t>
      </w:r>
      <w:r>
        <w:rPr>
          <w:rFonts w:hint="eastAsia" w:ascii="宋体" w:hAnsi="宋体" w:eastAsia="宋体" w:cs="宋体"/>
          <w:color w:val="auto"/>
          <w:sz w:val="21"/>
          <w:szCs w:val="21"/>
          <w:highlight w:val="none"/>
          <w:u w:val="single"/>
          <w:lang w:val="en-US" w:eastAsia="zh-CN"/>
        </w:rPr>
        <w:t>新安银行零信任设备采购项目</w:t>
      </w:r>
      <w:r>
        <w:rPr>
          <w:rFonts w:hint="eastAsia" w:ascii="宋体" w:hAnsi="宋体" w:eastAsia="宋体" w:cs="宋体"/>
          <w:color w:val="auto"/>
          <w:sz w:val="21"/>
          <w:szCs w:val="21"/>
          <w:highlight w:val="none"/>
        </w:rPr>
        <w:t>招标文件的全部内容，愿意以</w:t>
      </w:r>
      <w:r>
        <w:rPr>
          <w:rFonts w:hint="eastAsia" w:ascii="宋体" w:hAnsi="宋体" w:eastAsia="宋体" w:cs="宋体"/>
          <w:b w:val="0"/>
          <w:bCs w:val="0"/>
          <w:color w:val="auto"/>
          <w:sz w:val="21"/>
          <w:szCs w:val="21"/>
          <w:highlight w:val="none"/>
        </w:rPr>
        <w:t>投标总报价</w:t>
      </w:r>
      <w:r>
        <w:rPr>
          <w:rFonts w:hint="eastAsia" w:ascii="宋体" w:hAnsi="宋体" w:eastAsia="宋体" w:cs="宋体"/>
          <w:b w:val="0"/>
          <w:bCs w:val="0"/>
          <w:color w:val="auto"/>
          <w:sz w:val="21"/>
          <w:szCs w:val="21"/>
          <w:highlight w:val="none"/>
          <w:u w:val="single"/>
        </w:rPr>
        <w:t xml:space="preserve">     </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none"/>
        </w:rPr>
        <w:t>元</w:t>
      </w:r>
      <w:r>
        <w:rPr>
          <w:rFonts w:hint="eastAsia" w:ascii="宋体" w:hAnsi="宋体" w:eastAsia="宋体" w:cs="宋体"/>
          <w:b w:val="0"/>
          <w:bCs w:val="0"/>
          <w:color w:val="auto"/>
          <w:sz w:val="21"/>
          <w:szCs w:val="21"/>
          <w:highlight w:val="none"/>
        </w:rPr>
        <w:t>的投标报价提供该项目的</w:t>
      </w:r>
      <w:r>
        <w:rPr>
          <w:rFonts w:hint="eastAsia"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及服务等相关工作，并按合同约定履行义务。</w:t>
      </w:r>
    </w:p>
    <w:p w14:paraId="3972BFD1">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2.我方的投标文件包括下列内容：</w:t>
      </w:r>
    </w:p>
    <w:p w14:paraId="104C29F0">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详见投标文件格式</w:t>
      </w:r>
    </w:p>
    <w:p w14:paraId="72675561">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投标文件的上述组成部分如存在内容不一致的，以</w:t>
      </w:r>
      <w:r>
        <w:rPr>
          <w:rFonts w:hint="eastAsia" w:ascii="宋体" w:hAnsi="宋体" w:eastAsia="宋体" w:cs="宋体"/>
          <w:color w:val="auto"/>
          <w:sz w:val="21"/>
          <w:szCs w:val="21"/>
          <w:highlight w:val="none"/>
          <w:lang w:val="en-US" w:eastAsia="zh-CN"/>
        </w:rPr>
        <w:t>采购响应函</w:t>
      </w:r>
      <w:r>
        <w:rPr>
          <w:rFonts w:hint="eastAsia" w:ascii="宋体" w:hAnsi="宋体" w:eastAsia="宋体" w:cs="宋体"/>
          <w:color w:val="auto"/>
          <w:sz w:val="21"/>
          <w:szCs w:val="21"/>
          <w:highlight w:val="none"/>
        </w:rPr>
        <w:t>为准。</w:t>
      </w:r>
    </w:p>
    <w:p w14:paraId="0A6EAB01">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3．我方承诺除</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技术参数响应（偏离）表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列出的偏差外，我方响应招标文件的全部要求。</w:t>
      </w:r>
    </w:p>
    <w:p w14:paraId="5FA1EC4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4．我方承诺在招标文件规定的投标有效期内不撤销投标文件。</w:t>
      </w:r>
    </w:p>
    <w:p w14:paraId="0CA665B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5．如我方中标，我方承诺：</w:t>
      </w:r>
    </w:p>
    <w:p w14:paraId="32978FD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签订合同；</w:t>
      </w:r>
    </w:p>
    <w:p w14:paraId="776DE8FD">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rPr>
        <w:t>提出附加条件；</w:t>
      </w:r>
    </w:p>
    <w:p w14:paraId="0B383D5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）在合同约定的期限内完成合同规定的全部义务。</w:t>
      </w:r>
    </w:p>
    <w:p w14:paraId="5101F88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6．我方在此声明，所递交的投标文件及有关资料内容完整、真实和准确。</w:t>
      </w:r>
    </w:p>
    <w:p w14:paraId="6F166DA0">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w:t>
      </w:r>
      <w:r>
        <w:rPr>
          <w:rFonts w:hint="eastAsia" w:cs="宋体"/>
          <w:color w:val="auto"/>
          <w:sz w:val="21"/>
          <w:szCs w:val="21"/>
          <w:highlight w:val="none"/>
          <w:lang w:val="en-US" w:eastAsia="zh-CN"/>
        </w:rPr>
        <w:t>方</w:t>
      </w:r>
      <w:r>
        <w:rPr>
          <w:rFonts w:hint="eastAsia" w:ascii="宋体" w:hAnsi="宋体" w:eastAsia="宋体" w:cs="宋体"/>
          <w:color w:val="auto"/>
          <w:sz w:val="21"/>
          <w:szCs w:val="21"/>
          <w:highlight w:val="none"/>
        </w:rPr>
        <w:t>若中标，会按照招标文件“</w:t>
      </w:r>
      <w:r>
        <w:rPr>
          <w:rFonts w:hint="eastAsia" w:ascii="宋体" w:hAnsi="宋体" w:eastAsia="宋体" w:cs="宋体"/>
          <w:color w:val="auto"/>
          <w:sz w:val="21"/>
          <w:szCs w:val="21"/>
          <w:highlight w:val="none"/>
          <w:lang w:val="en-US" w:eastAsia="zh-CN"/>
        </w:rPr>
        <w:t>项目需求</w:t>
      </w:r>
      <w:r>
        <w:rPr>
          <w:rFonts w:hint="eastAsia" w:ascii="宋体" w:hAnsi="宋体" w:eastAsia="宋体" w:cs="宋体"/>
          <w:color w:val="auto"/>
          <w:sz w:val="21"/>
          <w:szCs w:val="21"/>
          <w:highlight w:val="none"/>
        </w:rPr>
        <w:t>”中的要求提供产品质量保证。</w:t>
      </w:r>
    </w:p>
    <w:p w14:paraId="5E3EACD7">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7172FDA">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p w14:paraId="2406881B">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94555B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6EE60ADD">
      <w:pPr>
        <w:spacing w:after="0" w:line="360" w:lineRule="auto"/>
        <w:ind w:firstLine="420" w:firstLineChars="200"/>
        <w:rPr>
          <w:rFonts w:hint="eastAsia" w:ascii="宋体" w:hAnsi="宋体" w:eastAsia="宋体" w:cs="宋体"/>
          <w:color w:val="auto"/>
          <w:sz w:val="21"/>
          <w:szCs w:val="21"/>
          <w:highlight w:val="none"/>
        </w:rPr>
      </w:pPr>
    </w:p>
    <w:p w14:paraId="1BD4859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（盖单位公章）</w:t>
      </w:r>
    </w:p>
    <w:p w14:paraId="1AF8328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w:t>
      </w:r>
      <w:r>
        <w:rPr>
          <w:rFonts w:hint="eastAsia" w:cs="宋体"/>
          <w:color w:val="auto"/>
          <w:sz w:val="21"/>
          <w:szCs w:val="21"/>
          <w:highlight w:val="none"/>
          <w:lang w:val="en-US" w:eastAsia="zh-CN"/>
        </w:rPr>
        <w:t>单位公章</w:t>
      </w:r>
      <w:r>
        <w:rPr>
          <w:rFonts w:hint="eastAsia" w:ascii="宋体" w:hAnsi="宋体" w:eastAsia="宋体" w:cs="宋体"/>
          <w:color w:val="auto"/>
          <w:sz w:val="21"/>
          <w:szCs w:val="21"/>
          <w:highlight w:val="none"/>
        </w:rPr>
        <w:t>）</w:t>
      </w:r>
    </w:p>
    <w:p w14:paraId="51707D4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日</w:t>
      </w:r>
    </w:p>
    <w:p w14:paraId="123F092D">
      <w:pPr>
        <w:rPr>
          <w:rFonts w:hint="eastAsia" w:ascii="宋体" w:hAnsi="宋体" w:eastAsia="宋体" w:cs="宋体"/>
          <w:color w:val="auto"/>
          <w:sz w:val="28"/>
          <w:szCs w:val="28"/>
          <w:highlight w:val="none"/>
        </w:rPr>
      </w:pPr>
    </w:p>
    <w:p w14:paraId="3332793C">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48" w:name="_Toc458"/>
      <w:bookmarkStart w:id="49" w:name="_Toc8171"/>
      <w:bookmarkStart w:id="50" w:name="_Toc1667"/>
      <w:bookmarkStart w:id="51" w:name="_Toc8513"/>
      <w:bookmarkStart w:id="52" w:name="_Toc21762"/>
      <w:r>
        <w:rPr>
          <w:rFonts w:hint="eastAsia" w:ascii="宋体" w:hAnsi="宋体" w:eastAsia="宋体" w:cs="宋体"/>
          <w:b/>
          <w:bCs/>
          <w:color w:val="auto"/>
          <w:sz w:val="21"/>
          <w:szCs w:val="21"/>
          <w:highlight w:val="none"/>
          <w:lang w:val="en-US" w:eastAsia="zh-CN"/>
        </w:rPr>
        <w:t>二、</w:t>
      </w:r>
      <w:r>
        <w:rPr>
          <w:rFonts w:hint="eastAsia" w:cs="宋体"/>
          <w:b/>
          <w:bCs/>
          <w:color w:val="auto"/>
          <w:sz w:val="21"/>
          <w:szCs w:val="21"/>
          <w:highlight w:val="none"/>
          <w:lang w:val="en-US" w:eastAsia="zh-CN"/>
        </w:rPr>
        <w:t>报价</w:t>
      </w:r>
      <w:r>
        <w:rPr>
          <w:rFonts w:hint="eastAsia" w:ascii="宋体" w:hAnsi="宋体" w:eastAsia="宋体" w:cs="宋体"/>
          <w:b/>
          <w:bCs/>
          <w:color w:val="auto"/>
          <w:sz w:val="21"/>
          <w:szCs w:val="21"/>
          <w:highlight w:val="none"/>
          <w:lang w:val="en-US" w:eastAsia="zh-CN"/>
        </w:rPr>
        <w:t>表</w:t>
      </w:r>
      <w:bookmarkEnd w:id="48"/>
      <w:bookmarkEnd w:id="49"/>
      <w:bookmarkEnd w:id="50"/>
      <w:bookmarkEnd w:id="51"/>
      <w:bookmarkEnd w:id="52"/>
    </w:p>
    <w:p w14:paraId="1306BDFF">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项目名称：</w:t>
      </w:r>
      <w:r>
        <w:rPr>
          <w:rFonts w:hint="eastAsia" w:cs="宋体"/>
          <w:color w:val="auto"/>
          <w:sz w:val="21"/>
          <w:szCs w:val="21"/>
          <w:highlight w:val="none"/>
          <w:lang w:val="en-US" w:eastAsia="zh-CN"/>
        </w:rPr>
        <w:t>安徽</w:t>
      </w:r>
      <w:r>
        <w:rPr>
          <w:rFonts w:hint="eastAsia" w:ascii="宋体" w:hAnsi="宋体" w:eastAsia="宋体" w:cs="宋体"/>
          <w:color w:val="auto"/>
          <w:sz w:val="21"/>
          <w:szCs w:val="21"/>
          <w:highlight w:val="none"/>
          <w:lang w:val="en-US" w:eastAsia="zh-CN"/>
        </w:rPr>
        <w:t>新安银行零信任设备采购项目</w:t>
      </w:r>
    </w:p>
    <w:p w14:paraId="343665CC">
      <w:pPr>
        <w:spacing w:after="0" w:line="36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rPr>
        <w:t>单位：</w:t>
      </w:r>
      <w:r>
        <w:rPr>
          <w:rFonts w:hint="eastAsia" w:cs="宋体"/>
          <w:color w:val="auto"/>
          <w:sz w:val="21"/>
          <w:szCs w:val="21"/>
          <w:highlight w:val="none"/>
          <w:u w:val="single"/>
          <w:lang w:val="en-US" w:eastAsia="zh-CN"/>
        </w:rPr>
        <w:t xml:space="preserve">                             </w:t>
      </w:r>
    </w:p>
    <w:p w14:paraId="4BAA2EF0">
      <w:pPr>
        <w:jc w:val="right"/>
        <w:rPr>
          <w:rFonts w:hint="default"/>
          <w:color w:val="auto"/>
          <w:highlight w:val="none"/>
          <w:lang w:val="en-US" w:eastAsia="zh-CN"/>
        </w:rPr>
      </w:pPr>
      <w:r>
        <w:rPr>
          <w:rFonts w:hint="eastAsia" w:cs="宋体"/>
          <w:color w:val="auto"/>
          <w:sz w:val="21"/>
          <w:szCs w:val="21"/>
          <w:highlight w:val="none"/>
          <w:lang w:val="en-US" w:eastAsia="zh-CN"/>
        </w:rPr>
        <w:t>人民币:元</w:t>
      </w:r>
    </w:p>
    <w:tbl>
      <w:tblPr>
        <w:tblStyle w:val="20"/>
        <w:tblW w:w="87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0"/>
        <w:gridCol w:w="2287"/>
        <w:gridCol w:w="1287"/>
        <w:gridCol w:w="1089"/>
        <w:gridCol w:w="3266"/>
      </w:tblGrid>
      <w:tr w14:paraId="611A5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jc w:val="center"/>
        </w:trPr>
        <w:tc>
          <w:tcPr>
            <w:tcW w:w="820" w:type="dxa"/>
            <w:tcBorders>
              <w:tl2br w:val="nil"/>
              <w:tr2bl w:val="nil"/>
            </w:tcBorders>
            <w:vAlign w:val="center"/>
          </w:tcPr>
          <w:p w14:paraId="10097EAA">
            <w:pPr>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287" w:type="dxa"/>
            <w:tcBorders>
              <w:tl2br w:val="nil"/>
              <w:tr2bl w:val="nil"/>
            </w:tcBorders>
            <w:vAlign w:val="center"/>
          </w:tcPr>
          <w:p w14:paraId="3A4643EC">
            <w:pPr>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品牌型号</w:t>
            </w:r>
          </w:p>
        </w:tc>
        <w:tc>
          <w:tcPr>
            <w:tcW w:w="1287" w:type="dxa"/>
            <w:tcBorders>
              <w:tl2br w:val="nil"/>
              <w:tr2bl w:val="nil"/>
            </w:tcBorders>
            <w:vAlign w:val="center"/>
          </w:tcPr>
          <w:p w14:paraId="1D4F8171">
            <w:pPr>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w:t>
            </w:r>
          </w:p>
        </w:tc>
        <w:tc>
          <w:tcPr>
            <w:tcW w:w="1089" w:type="dxa"/>
            <w:tcBorders>
              <w:tl2br w:val="nil"/>
              <w:tr2bl w:val="nil"/>
            </w:tcBorders>
            <w:vAlign w:val="center"/>
          </w:tcPr>
          <w:p w14:paraId="1B962E80">
            <w:pPr>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数量（台）</w:t>
            </w:r>
          </w:p>
        </w:tc>
        <w:tc>
          <w:tcPr>
            <w:tcW w:w="3266" w:type="dxa"/>
            <w:tcBorders>
              <w:tl2br w:val="nil"/>
              <w:tr2bl w:val="nil"/>
            </w:tcBorders>
            <w:vAlign w:val="center"/>
          </w:tcPr>
          <w:p w14:paraId="2597D681">
            <w:pPr>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含税金额总价（注明税率）</w:t>
            </w:r>
          </w:p>
        </w:tc>
      </w:tr>
      <w:tr w14:paraId="4F8A3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820" w:type="dxa"/>
            <w:tcBorders>
              <w:tl2br w:val="nil"/>
              <w:tr2bl w:val="nil"/>
            </w:tcBorders>
            <w:vAlign w:val="top"/>
          </w:tcPr>
          <w:p w14:paraId="1A2127E3">
            <w:pPr>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87" w:type="dxa"/>
            <w:tcBorders>
              <w:tl2br w:val="nil"/>
              <w:tr2bl w:val="nil"/>
            </w:tcBorders>
            <w:vAlign w:val="top"/>
          </w:tcPr>
          <w:p w14:paraId="1A77B8B5">
            <w:pPr>
              <w:spacing w:after="0" w:line="360" w:lineRule="auto"/>
              <w:jc w:val="center"/>
              <w:rPr>
                <w:rFonts w:hint="eastAsia" w:ascii="宋体" w:hAnsi="宋体" w:eastAsia="宋体" w:cs="宋体"/>
                <w:color w:val="auto"/>
                <w:sz w:val="21"/>
                <w:szCs w:val="21"/>
                <w:highlight w:val="none"/>
                <w:lang w:val="en-US" w:eastAsia="zh-CN"/>
              </w:rPr>
            </w:pPr>
          </w:p>
        </w:tc>
        <w:tc>
          <w:tcPr>
            <w:tcW w:w="1287" w:type="dxa"/>
            <w:tcBorders>
              <w:tl2br w:val="nil"/>
              <w:tr2bl w:val="nil"/>
            </w:tcBorders>
            <w:vAlign w:val="top"/>
          </w:tcPr>
          <w:p w14:paraId="561FC4AA">
            <w:pPr>
              <w:spacing w:after="0" w:line="360" w:lineRule="auto"/>
              <w:jc w:val="center"/>
              <w:rPr>
                <w:rFonts w:hint="eastAsia" w:ascii="宋体" w:hAnsi="宋体" w:eastAsia="宋体" w:cs="宋体"/>
                <w:color w:val="auto"/>
                <w:sz w:val="21"/>
                <w:szCs w:val="21"/>
                <w:highlight w:val="none"/>
                <w:lang w:val="en-US" w:eastAsia="zh-CN"/>
              </w:rPr>
            </w:pPr>
          </w:p>
        </w:tc>
        <w:tc>
          <w:tcPr>
            <w:tcW w:w="1089" w:type="dxa"/>
            <w:tcBorders>
              <w:tl2br w:val="nil"/>
              <w:tr2bl w:val="nil"/>
            </w:tcBorders>
            <w:vAlign w:val="top"/>
          </w:tcPr>
          <w:p w14:paraId="37B6B230">
            <w:pPr>
              <w:spacing w:after="0" w:line="360" w:lineRule="auto"/>
              <w:jc w:val="center"/>
              <w:rPr>
                <w:rFonts w:hint="eastAsia" w:ascii="宋体" w:hAnsi="宋体" w:eastAsia="宋体" w:cs="宋体"/>
                <w:color w:val="auto"/>
                <w:sz w:val="21"/>
                <w:szCs w:val="21"/>
                <w:highlight w:val="none"/>
                <w:lang w:val="en-US" w:eastAsia="zh-CN"/>
              </w:rPr>
            </w:pPr>
          </w:p>
        </w:tc>
        <w:tc>
          <w:tcPr>
            <w:tcW w:w="3266" w:type="dxa"/>
            <w:tcBorders>
              <w:tl2br w:val="nil"/>
              <w:tr2bl w:val="nil"/>
            </w:tcBorders>
            <w:vAlign w:val="top"/>
          </w:tcPr>
          <w:p w14:paraId="30E6C3CB">
            <w:pPr>
              <w:spacing w:after="0" w:line="360" w:lineRule="auto"/>
              <w:jc w:val="center"/>
              <w:rPr>
                <w:rFonts w:hint="eastAsia" w:ascii="宋体" w:hAnsi="宋体" w:eastAsia="宋体" w:cs="宋体"/>
                <w:color w:val="auto"/>
                <w:sz w:val="21"/>
                <w:szCs w:val="21"/>
                <w:highlight w:val="none"/>
                <w:lang w:val="en-US" w:eastAsia="zh-CN"/>
              </w:rPr>
            </w:pPr>
          </w:p>
        </w:tc>
      </w:tr>
      <w:tr w14:paraId="21792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jc w:val="center"/>
        </w:trPr>
        <w:tc>
          <w:tcPr>
            <w:tcW w:w="8749" w:type="dxa"/>
            <w:gridSpan w:val="5"/>
            <w:tcBorders>
              <w:tl2br w:val="nil"/>
              <w:tr2bl w:val="nil"/>
            </w:tcBorders>
          </w:tcPr>
          <w:p w14:paraId="3C7CE2D9">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备注：实施工期（       月）</w:t>
            </w:r>
          </w:p>
        </w:tc>
      </w:tr>
    </w:tbl>
    <w:p w14:paraId="291F48F9">
      <w:pPr>
        <w:spacing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val="zh-CN" w:eastAsia="zh-CN"/>
        </w:rPr>
        <w:t>以上《</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zh-CN" w:eastAsia="zh-CN"/>
        </w:rPr>
        <w:t>表》作响应需求使用，</w:t>
      </w:r>
      <w:r>
        <w:rPr>
          <w:rFonts w:hint="eastAsia" w:ascii="宋体" w:hAnsi="宋体" w:eastAsia="宋体" w:cs="宋体"/>
          <w:color w:val="auto"/>
          <w:sz w:val="21"/>
          <w:szCs w:val="21"/>
          <w:highlight w:val="none"/>
          <w:lang w:val="zh-CN"/>
        </w:rPr>
        <w:t>请</w:t>
      </w:r>
      <w:r>
        <w:rPr>
          <w:rFonts w:hint="eastAsia" w:cs="宋体"/>
          <w:color w:val="auto"/>
          <w:sz w:val="21"/>
          <w:szCs w:val="21"/>
          <w:highlight w:val="none"/>
          <w:lang w:val="en-US" w:eastAsia="zh-CN"/>
        </w:rPr>
        <w:t>投标人</w:t>
      </w:r>
      <w:r>
        <w:rPr>
          <w:rFonts w:hint="eastAsia" w:cs="宋体"/>
          <w:strike w:val="0"/>
          <w:dstrike w:val="0"/>
          <w:color w:val="auto"/>
          <w:sz w:val="21"/>
          <w:szCs w:val="21"/>
          <w:highlight w:val="none"/>
          <w:lang w:val="en-US" w:eastAsia="zh-CN"/>
        </w:rPr>
        <w:t>将报价表</w:t>
      </w:r>
      <w:r>
        <w:rPr>
          <w:rFonts w:hint="eastAsia" w:ascii="宋体" w:hAnsi="宋体" w:eastAsia="宋体" w:cs="宋体"/>
          <w:color w:val="auto"/>
          <w:sz w:val="21"/>
          <w:szCs w:val="21"/>
          <w:highlight w:val="none"/>
          <w:lang w:val="en-US" w:eastAsia="zh-CN"/>
        </w:rPr>
        <w:t>附于投标文件内</w:t>
      </w:r>
      <w:r>
        <w:rPr>
          <w:rFonts w:hint="eastAsia" w:ascii="宋体" w:hAnsi="宋体" w:eastAsia="宋体" w:cs="宋体"/>
          <w:color w:val="auto"/>
          <w:sz w:val="21"/>
          <w:szCs w:val="21"/>
          <w:highlight w:val="none"/>
          <w:lang w:val="zh-CN"/>
        </w:rPr>
        <w:t>一起递交。</w:t>
      </w:r>
    </w:p>
    <w:p w14:paraId="1AC9E389">
      <w:pPr>
        <w:spacing w:after="0" w:line="360" w:lineRule="auto"/>
        <w:rPr>
          <w:rFonts w:hint="eastAsia" w:ascii="宋体" w:hAnsi="宋体" w:eastAsia="宋体" w:cs="宋体"/>
          <w:color w:val="auto"/>
          <w:sz w:val="21"/>
          <w:szCs w:val="21"/>
          <w:highlight w:val="none"/>
          <w:lang w:val="en-US" w:eastAsia="zh-CN"/>
        </w:rPr>
      </w:pPr>
    </w:p>
    <w:p w14:paraId="58DD748E">
      <w:pPr>
        <w:spacing w:after="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（盖单位公章）</w:t>
      </w:r>
    </w:p>
    <w:p w14:paraId="59EE5A57">
      <w:pPr>
        <w:spacing w:after="0"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（签字或盖单位公章）</w:t>
      </w:r>
    </w:p>
    <w:p w14:paraId="38601F5B">
      <w:pPr>
        <w:spacing w:after="0" w:line="360" w:lineRule="auto"/>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时间：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年</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月</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日</w:t>
      </w:r>
    </w:p>
    <w:p w14:paraId="147EF249">
      <w:pPr>
        <w:rPr>
          <w:rFonts w:hint="eastAsia"/>
          <w:color w:val="auto"/>
          <w:highlight w:val="none"/>
        </w:rPr>
      </w:pPr>
    </w:p>
    <w:p w14:paraId="2C76A593">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53" w:name="_Toc12522"/>
      <w:bookmarkStart w:id="54" w:name="_Toc4240"/>
      <w:bookmarkStart w:id="55" w:name="_Toc27072"/>
      <w:bookmarkStart w:id="56" w:name="_Toc15882"/>
      <w:bookmarkStart w:id="57" w:name="_Toc16725"/>
      <w:r>
        <w:rPr>
          <w:rFonts w:hint="eastAsia" w:ascii="宋体" w:hAnsi="宋体" w:eastAsia="宋体" w:cs="宋体"/>
          <w:b/>
          <w:bCs/>
          <w:color w:val="auto"/>
          <w:sz w:val="21"/>
          <w:szCs w:val="21"/>
          <w:highlight w:val="none"/>
          <w:lang w:val="en-US" w:eastAsia="zh-CN"/>
        </w:rPr>
        <w:t>三、法定代表人（单位负责人）身份证明</w:t>
      </w:r>
      <w:bookmarkEnd w:id="53"/>
      <w:bookmarkEnd w:id="54"/>
      <w:bookmarkEnd w:id="55"/>
      <w:bookmarkEnd w:id="56"/>
      <w:bookmarkEnd w:id="57"/>
    </w:p>
    <w:p w14:paraId="481AFB3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3EF90E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6C42F3D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（单位负责人）。</w:t>
      </w:r>
    </w:p>
    <w:p w14:paraId="32D5130B">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00FF7F8">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w:t>
      </w:r>
      <w:r>
        <w:rPr>
          <w:rFonts w:hint="eastAsia" w:ascii="宋体" w:hAnsi="宋体" w:eastAsia="宋体" w:cs="宋体"/>
          <w:color w:val="auto"/>
          <w:sz w:val="21"/>
          <w:szCs w:val="21"/>
          <w:highlight w:val="none"/>
          <w:u w:val="none"/>
        </w:rPr>
        <w:t>单位负责人</w:t>
      </w:r>
      <w:r>
        <w:rPr>
          <w:rFonts w:hint="eastAsia" w:ascii="宋体" w:hAnsi="宋体" w:eastAsia="宋体" w:cs="宋体"/>
          <w:color w:val="auto"/>
          <w:sz w:val="21"/>
          <w:szCs w:val="21"/>
          <w:highlight w:val="none"/>
        </w:rPr>
        <w:t>）身份证扫描件。</w:t>
      </w:r>
    </w:p>
    <w:p w14:paraId="2B921FEB">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注：本身份证明</w:t>
      </w:r>
      <w:r>
        <w:rPr>
          <w:rFonts w:hint="eastAsia" w:cs="宋体"/>
          <w:color w:val="auto"/>
          <w:sz w:val="21"/>
          <w:szCs w:val="21"/>
          <w:highlight w:val="none"/>
          <w:lang w:val="en-US" w:eastAsia="zh-CN"/>
        </w:rPr>
        <w:t>须</w:t>
      </w:r>
      <w:r>
        <w:rPr>
          <w:rFonts w:hint="eastAsia" w:ascii="宋体" w:hAnsi="宋体" w:eastAsia="宋体" w:cs="宋体"/>
          <w:color w:val="auto"/>
          <w:sz w:val="21"/>
          <w:szCs w:val="21"/>
          <w:highlight w:val="none"/>
        </w:rPr>
        <w:t>由投标人加盖单位公章。</w:t>
      </w:r>
    </w:p>
    <w:p w14:paraId="20C037CE">
      <w:pPr>
        <w:spacing w:after="0" w:line="360" w:lineRule="auto"/>
        <w:ind w:firstLine="420" w:firstLineChars="200"/>
        <w:rPr>
          <w:rFonts w:hint="eastAsia"/>
          <w:color w:val="auto"/>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357"/>
      </w:tblGrid>
      <w:tr w14:paraId="4CDC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165" w:type="dxa"/>
            <w:noWrap w:val="0"/>
            <w:vAlign w:val="center"/>
          </w:tcPr>
          <w:p w14:paraId="5C6A9487">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06AB5058">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身份证明复制件（国徽面）</w:t>
            </w:r>
          </w:p>
        </w:tc>
        <w:tc>
          <w:tcPr>
            <w:tcW w:w="4357" w:type="dxa"/>
            <w:noWrap w:val="0"/>
            <w:vAlign w:val="center"/>
          </w:tcPr>
          <w:p w14:paraId="3DAFE119">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64561EF1">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身份证明复制件（持证人照片面）</w:t>
            </w:r>
          </w:p>
        </w:tc>
      </w:tr>
    </w:tbl>
    <w:p w14:paraId="08D58740">
      <w:pPr>
        <w:spacing w:after="0" w:line="360" w:lineRule="auto"/>
        <w:rPr>
          <w:rFonts w:hint="eastAsia" w:ascii="宋体" w:hAnsi="宋体" w:eastAsia="宋体" w:cs="宋体"/>
          <w:color w:val="auto"/>
          <w:sz w:val="21"/>
          <w:szCs w:val="21"/>
          <w:highlight w:val="none"/>
        </w:rPr>
      </w:pPr>
    </w:p>
    <w:p w14:paraId="1C4DF9B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（盖单位公章）</w:t>
      </w:r>
    </w:p>
    <w:p w14:paraId="745FE89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法定代表人（单位负责人）或其委托代理人：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w:t>
      </w:r>
      <w:r>
        <w:rPr>
          <w:rFonts w:hint="eastAsia" w:cs="宋体"/>
          <w:color w:val="auto"/>
          <w:sz w:val="21"/>
          <w:szCs w:val="21"/>
          <w:highlight w:val="none"/>
          <w:lang w:val="en-US" w:eastAsia="zh-CN"/>
        </w:rPr>
        <w:t>单位公章</w:t>
      </w:r>
      <w:r>
        <w:rPr>
          <w:rFonts w:hint="eastAsia" w:ascii="宋体" w:hAnsi="宋体" w:eastAsia="宋体" w:cs="宋体"/>
          <w:color w:val="auto"/>
          <w:sz w:val="21"/>
          <w:szCs w:val="21"/>
          <w:highlight w:val="none"/>
        </w:rPr>
        <w:t>）</w:t>
      </w:r>
    </w:p>
    <w:p w14:paraId="5AE3A461">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hAnsi="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1757C6D7">
      <w:pPr>
        <w:rPr>
          <w:rFonts w:hint="eastAsia"/>
          <w:color w:val="auto"/>
          <w:highlight w:val="none"/>
        </w:rPr>
      </w:pPr>
    </w:p>
    <w:p w14:paraId="750DC3F1">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58" w:name="_Toc12863"/>
      <w:bookmarkStart w:id="59" w:name="_Toc3358"/>
      <w:bookmarkStart w:id="60" w:name="_Toc3769"/>
      <w:bookmarkStart w:id="61" w:name="_Toc9781"/>
      <w:bookmarkStart w:id="62" w:name="_Toc8469"/>
      <w:r>
        <w:rPr>
          <w:rFonts w:hint="eastAsia" w:ascii="宋体" w:hAnsi="宋体" w:eastAsia="宋体" w:cs="宋体"/>
          <w:b/>
          <w:bCs/>
          <w:color w:val="auto"/>
          <w:sz w:val="21"/>
          <w:szCs w:val="21"/>
          <w:highlight w:val="none"/>
          <w:lang w:val="en-US" w:eastAsia="zh-CN"/>
        </w:rPr>
        <w:t>四、授权委托书</w:t>
      </w:r>
      <w:bookmarkEnd w:id="58"/>
      <w:bookmarkEnd w:id="59"/>
      <w:bookmarkEnd w:id="60"/>
      <w:bookmarkEnd w:id="61"/>
      <w:bookmarkEnd w:id="62"/>
    </w:p>
    <w:p w14:paraId="7054612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姓名</w:t>
      </w:r>
      <w:r>
        <w:rPr>
          <w:rFonts w:hint="eastAsia" w:ascii="宋体" w:hAnsi="宋体" w:eastAsia="宋体" w:cs="宋体"/>
          <w:color w:val="auto"/>
          <w:sz w:val="21"/>
          <w:szCs w:val="21"/>
          <w:highlight w:val="none"/>
        </w:rPr>
        <w:t>）系</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投标人名称</w:t>
      </w:r>
      <w:r>
        <w:rPr>
          <w:rFonts w:hint="eastAsia" w:ascii="宋体" w:hAnsi="宋体" w:eastAsia="宋体" w:cs="宋体"/>
          <w:color w:val="auto"/>
          <w:sz w:val="21"/>
          <w:szCs w:val="21"/>
          <w:highlight w:val="none"/>
        </w:rPr>
        <w:t>）的法定代表人</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单位负责人</w:t>
      </w:r>
      <w:r>
        <w:rPr>
          <w:rFonts w:hint="eastAsia" w:ascii="宋体" w:hAnsi="宋体" w:eastAsia="宋体" w:cs="宋体"/>
          <w:color w:val="auto"/>
          <w:sz w:val="21"/>
          <w:szCs w:val="21"/>
          <w:highlight w:val="none"/>
        </w:rPr>
        <w:t>），现委托</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姓名</w:t>
      </w:r>
      <w:r>
        <w:rPr>
          <w:rFonts w:hint="eastAsia" w:ascii="宋体" w:hAnsi="宋体" w:eastAsia="宋体" w:cs="宋体"/>
          <w:color w:val="auto"/>
          <w:sz w:val="21"/>
          <w:szCs w:val="21"/>
          <w:highlight w:val="none"/>
        </w:rPr>
        <w:t>）为我方</w:t>
      </w:r>
      <w:r>
        <w:rPr>
          <w:rFonts w:hint="eastAsia" w:cs="宋体"/>
          <w:color w:val="auto"/>
          <w:sz w:val="21"/>
          <w:szCs w:val="21"/>
          <w:highlight w:val="none"/>
          <w:lang w:val="en-US" w:eastAsia="zh-CN"/>
        </w:rPr>
        <w:t>本次项目委托</w:t>
      </w:r>
      <w:r>
        <w:rPr>
          <w:rFonts w:hint="eastAsia" w:ascii="宋体" w:hAnsi="宋体" w:eastAsia="宋体" w:cs="宋体"/>
          <w:color w:val="auto"/>
          <w:sz w:val="21"/>
          <w:szCs w:val="21"/>
          <w:highlight w:val="none"/>
        </w:rPr>
        <w:t>代理人。委托代理人依据本授权，以我方名义办理本次安徽新安银行零信任设备采购项目投标文件签署、澄清、确认、递交、撤回、修改及合同签订、相关事务处理等全部事宜，由此产生的一切法律责任及后果均由我方承担。</w:t>
      </w:r>
    </w:p>
    <w:p w14:paraId="196C362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1A3B8804">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附：法定代表人（单位负责人）身份证扫描件；</w:t>
      </w:r>
    </w:p>
    <w:p w14:paraId="12E1490D">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委托代理人身份证扫描；</w:t>
      </w:r>
    </w:p>
    <w:p w14:paraId="72DBCC42">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70840A7E">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1、本授权委托书需由投标人加盖单位公章</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并由其法定代表人（单位负责人）签字或</w:t>
      </w:r>
      <w:r>
        <w:rPr>
          <w:rFonts w:hint="eastAsia" w:cs="宋体"/>
          <w:b w:val="0"/>
          <w:bCs w:val="0"/>
          <w:color w:val="auto"/>
          <w:sz w:val="21"/>
          <w:szCs w:val="21"/>
          <w:highlight w:val="none"/>
          <w:lang w:val="en-US" w:eastAsia="zh-CN"/>
        </w:rPr>
        <w:t>盖单位公章；</w:t>
      </w:r>
    </w:p>
    <w:p w14:paraId="37AB0D9C">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2、本项目仅限设置唯一授权代表，同时须提供法定代表人（单位负责人）身份证明资料；</w:t>
      </w:r>
    </w:p>
    <w:p w14:paraId="0278BFC3">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3、法定代表人本人亲自参与本次采购活动的，无需提供本授权委托书，仅需提交法定代表人（单位负责人）身份证明即可。</w:t>
      </w:r>
    </w:p>
    <w:p w14:paraId="7E598030">
      <w:pPr>
        <w:spacing w:after="0" w:line="360" w:lineRule="auto"/>
        <w:ind w:firstLine="420" w:firstLineChars="200"/>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4、本授权书于</w:t>
      </w:r>
      <w:r>
        <w:rPr>
          <w:rFonts w:hint="eastAsia" w:cs="宋体"/>
          <w:b w:val="0"/>
          <w:bCs w:val="0"/>
          <w:color w:val="auto"/>
          <w:sz w:val="21"/>
          <w:szCs w:val="21"/>
          <w:highlight w:val="none"/>
          <w:u w:val="single"/>
          <w:lang w:val="en-US" w:eastAsia="zh-CN"/>
        </w:rPr>
        <w:t>2026</w:t>
      </w:r>
      <w:r>
        <w:rPr>
          <w:rFonts w:hint="eastAsia" w:cs="宋体"/>
          <w:b w:val="0"/>
          <w:bCs w:val="0"/>
          <w:color w:val="auto"/>
          <w:sz w:val="21"/>
          <w:szCs w:val="21"/>
          <w:highlight w:val="none"/>
          <w:u w:val="none"/>
          <w:lang w:val="en-US" w:eastAsia="zh-CN"/>
        </w:rPr>
        <w:t>年</w:t>
      </w:r>
      <w:r>
        <w:rPr>
          <w:rFonts w:hint="eastAsia"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none"/>
          <w:lang w:val="en-US" w:eastAsia="zh-CN"/>
        </w:rPr>
        <w:t>月</w:t>
      </w:r>
      <w:r>
        <w:rPr>
          <w:rFonts w:hint="eastAsia" w:cs="宋体"/>
          <w:b w:val="0"/>
          <w:bCs w:val="0"/>
          <w:color w:val="auto"/>
          <w:sz w:val="21"/>
          <w:szCs w:val="21"/>
          <w:highlight w:val="none"/>
          <w:u w:val="single"/>
          <w:lang w:val="en-US" w:eastAsia="zh-CN"/>
        </w:rPr>
        <w:t xml:space="preserve">     </w:t>
      </w:r>
      <w:r>
        <w:rPr>
          <w:rFonts w:hint="eastAsia" w:cs="宋体"/>
          <w:b w:val="0"/>
          <w:bCs w:val="0"/>
          <w:color w:val="auto"/>
          <w:sz w:val="21"/>
          <w:szCs w:val="21"/>
          <w:highlight w:val="none"/>
          <w:u w:val="none"/>
          <w:lang w:val="en-US" w:eastAsia="zh-CN"/>
        </w:rPr>
        <w:t>日</w:t>
      </w:r>
      <w:r>
        <w:rPr>
          <w:rFonts w:hint="eastAsia" w:cs="宋体"/>
          <w:b w:val="0"/>
          <w:bCs w:val="0"/>
          <w:color w:val="auto"/>
          <w:sz w:val="21"/>
          <w:szCs w:val="21"/>
          <w:highlight w:val="none"/>
          <w:lang w:val="en-US" w:eastAsia="zh-CN"/>
        </w:rPr>
        <w:t>生效，在我方出具撤销授权书面通知送达前，本授权持续有效；</w:t>
      </w:r>
    </w:p>
    <w:p w14:paraId="08597001">
      <w:pPr>
        <w:spacing w:after="0" w:line="360" w:lineRule="auto"/>
        <w:ind w:firstLine="420" w:firstLineChars="200"/>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、被授权人参加的</w:t>
      </w:r>
      <w:r>
        <w:rPr>
          <w:rFonts w:hint="eastAsia"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rPr>
        <w:t>提供授权委托书，并提供法定代表人（单位负责人）身份证明。</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F08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4261" w:type="dxa"/>
            <w:noWrap w:val="0"/>
            <w:vAlign w:val="center"/>
          </w:tcPr>
          <w:p w14:paraId="233FC336">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42F3C61F">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身份证明复制件（国徽面）</w:t>
            </w:r>
          </w:p>
        </w:tc>
        <w:tc>
          <w:tcPr>
            <w:tcW w:w="4261" w:type="dxa"/>
            <w:noWrap w:val="0"/>
            <w:vAlign w:val="center"/>
          </w:tcPr>
          <w:p w14:paraId="151C207E">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14:paraId="4618E923">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身份证明复制件（持证人照片面）</w:t>
            </w:r>
          </w:p>
        </w:tc>
      </w:tr>
      <w:tr w14:paraId="6A5F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261" w:type="dxa"/>
            <w:noWrap w:val="0"/>
            <w:vAlign w:val="center"/>
          </w:tcPr>
          <w:p w14:paraId="3114095E">
            <w:pPr>
              <w:spacing w:after="0" w:line="36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委托</w:t>
            </w:r>
            <w:r>
              <w:rPr>
                <w:rFonts w:hint="eastAsia" w:ascii="宋体" w:hAnsi="宋体" w:eastAsia="宋体" w:cs="宋体"/>
                <w:color w:val="auto"/>
                <w:sz w:val="21"/>
                <w:szCs w:val="21"/>
                <w:highlight w:val="none"/>
              </w:rPr>
              <w:t>代理人身份证复制件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国徽</w:t>
            </w:r>
            <w:r>
              <w:rPr>
                <w:rFonts w:hint="eastAsia" w:ascii="宋体" w:hAnsi="宋体" w:eastAsia="宋体" w:cs="宋体"/>
                <w:color w:val="auto"/>
                <w:sz w:val="21"/>
                <w:szCs w:val="21"/>
                <w:highlight w:val="none"/>
                <w:lang w:val="en-US" w:eastAsia="zh-CN"/>
              </w:rPr>
              <w:t>面）</w:t>
            </w:r>
          </w:p>
        </w:tc>
        <w:tc>
          <w:tcPr>
            <w:tcW w:w="4261" w:type="dxa"/>
            <w:noWrap w:val="0"/>
            <w:vAlign w:val="center"/>
          </w:tcPr>
          <w:p w14:paraId="1D576F92">
            <w:pPr>
              <w:spacing w:after="0" w:line="360" w:lineRule="auto"/>
              <w:jc w:val="left"/>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委托</w:t>
            </w:r>
            <w:r>
              <w:rPr>
                <w:rFonts w:hint="eastAsia" w:ascii="宋体" w:hAnsi="宋体" w:eastAsia="宋体" w:cs="宋体"/>
                <w:color w:val="auto"/>
                <w:sz w:val="21"/>
                <w:szCs w:val="21"/>
                <w:highlight w:val="none"/>
              </w:rPr>
              <w:t>代理人身份证复制件</w:t>
            </w:r>
            <w:r>
              <w:rPr>
                <w:rFonts w:hint="eastAsia" w:ascii="宋体" w:hAnsi="宋体" w:eastAsia="宋体" w:cs="宋体"/>
                <w:color w:val="auto"/>
                <w:sz w:val="21"/>
                <w:szCs w:val="21"/>
                <w:highlight w:val="none"/>
                <w:lang w:val="en-US" w:eastAsia="zh-CN"/>
              </w:rPr>
              <w:t>（持证人照片面 ）</w:t>
            </w:r>
          </w:p>
        </w:tc>
      </w:tr>
    </w:tbl>
    <w:p w14:paraId="673BADAC">
      <w:pPr>
        <w:rPr>
          <w:rFonts w:hint="eastAsia"/>
          <w:color w:val="auto"/>
          <w:highlight w:val="none"/>
        </w:rPr>
      </w:pPr>
    </w:p>
    <w:p w14:paraId="3D1A18AB">
      <w:pPr>
        <w:rPr>
          <w:rFonts w:hint="eastAsia"/>
          <w:color w:val="auto"/>
          <w:highlight w:val="none"/>
        </w:rPr>
      </w:pPr>
      <w:r>
        <w:rPr>
          <w:rFonts w:hint="eastAsia"/>
          <w:color w:val="auto"/>
          <w:highlight w:val="none"/>
        </w:rPr>
        <w:t>投标人</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rPr>
        <w:t>（盖单位公章）</w:t>
      </w:r>
    </w:p>
    <w:p w14:paraId="6B0E6BE4">
      <w:pPr>
        <w:rPr>
          <w:rFonts w:hint="eastAsia"/>
          <w:color w:val="auto"/>
          <w:highlight w:val="none"/>
        </w:rPr>
      </w:pPr>
      <w:r>
        <w:rPr>
          <w:rFonts w:hint="eastAsia"/>
          <w:color w:val="auto"/>
          <w:highlight w:val="none"/>
        </w:rPr>
        <w:t>法定代表人（单位负责人）：</w:t>
      </w:r>
      <w:r>
        <w:rPr>
          <w:rFonts w:hint="eastAsia"/>
          <w:color w:val="auto"/>
          <w:highlight w:val="none"/>
          <w:u w:val="single"/>
          <w:lang w:val="en-US" w:eastAsia="zh-CN"/>
        </w:rPr>
        <w:t xml:space="preserve">                  </w:t>
      </w:r>
      <w:r>
        <w:rPr>
          <w:rFonts w:hint="eastAsia"/>
          <w:color w:val="auto"/>
          <w:highlight w:val="none"/>
        </w:rPr>
        <w:t>（签字或盖单位公章）</w:t>
      </w:r>
    </w:p>
    <w:p w14:paraId="79B9A8DB">
      <w:pPr>
        <w:rPr>
          <w:rFonts w:hint="eastAsia"/>
          <w:color w:val="auto"/>
          <w:highlight w:val="none"/>
        </w:rPr>
      </w:pP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（签字或盖单位公章）</w:t>
      </w:r>
    </w:p>
    <w:p w14:paraId="30233CDA">
      <w:pPr>
        <w:rPr>
          <w:rFonts w:hint="eastAsia"/>
          <w:color w:val="auto"/>
          <w:highlight w:val="none"/>
        </w:rPr>
      </w:pPr>
      <w:r>
        <w:rPr>
          <w:rFonts w:hint="eastAsia"/>
          <w:color w:val="auto"/>
          <w:highlight w:val="none"/>
        </w:rPr>
        <w:t>日期：</w:t>
      </w:r>
      <w:r>
        <w:rPr>
          <w:rFonts w:hint="eastAsia"/>
          <w:color w:val="auto"/>
          <w:highlight w:val="none"/>
          <w:u w:val="single"/>
          <w:lang w:val="en-US" w:eastAsia="zh-CN"/>
        </w:rPr>
        <w:t xml:space="preserve">       </w:t>
      </w:r>
      <w:r>
        <w:rPr>
          <w:rFonts w:hint="eastAsia"/>
          <w:color w:val="auto"/>
          <w:highlight w:val="none"/>
        </w:rPr>
        <w:t>年</w:t>
      </w:r>
      <w:r>
        <w:rPr>
          <w:rFonts w:hint="eastAsia"/>
          <w:color w:val="auto"/>
          <w:highlight w:val="none"/>
          <w:u w:val="single"/>
          <w:lang w:val="en-US" w:eastAsia="zh-CN"/>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r>
        <w:rPr>
          <w:rFonts w:hint="eastAsia"/>
          <w:color w:val="auto"/>
          <w:highlight w:val="none"/>
        </w:rPr>
        <w:br w:type="page"/>
      </w:r>
    </w:p>
    <w:p w14:paraId="3600C4FB">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63" w:name="_Toc16708"/>
      <w:bookmarkStart w:id="64" w:name="_Toc25994"/>
      <w:bookmarkStart w:id="65" w:name="_Toc18988"/>
      <w:bookmarkStart w:id="66" w:name="_Toc30591"/>
      <w:bookmarkStart w:id="67" w:name="_Toc24926"/>
      <w:r>
        <w:rPr>
          <w:rFonts w:hint="eastAsia" w:ascii="宋体" w:hAnsi="宋体" w:eastAsia="宋体" w:cs="宋体"/>
          <w:b/>
          <w:bCs/>
          <w:color w:val="auto"/>
          <w:sz w:val="21"/>
          <w:szCs w:val="21"/>
          <w:highlight w:val="none"/>
          <w:lang w:val="en-US" w:eastAsia="zh-CN"/>
        </w:rPr>
        <w:t>五、资格审查资料</w:t>
      </w:r>
      <w:bookmarkEnd w:id="63"/>
      <w:bookmarkEnd w:id="64"/>
      <w:bookmarkEnd w:id="65"/>
      <w:bookmarkEnd w:id="66"/>
      <w:bookmarkEnd w:id="67"/>
    </w:p>
    <w:p w14:paraId="522FD306">
      <w:pPr>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（一）基本情况表</w:t>
      </w:r>
    </w:p>
    <w:tbl>
      <w:tblPr>
        <w:tblStyle w:val="20"/>
        <w:tblW w:w="8316" w:type="dxa"/>
        <w:jc w:val="center"/>
        <w:tblLayout w:type="fixed"/>
        <w:tblCellMar>
          <w:top w:w="0" w:type="dxa"/>
          <w:left w:w="0" w:type="dxa"/>
          <w:bottom w:w="0" w:type="dxa"/>
          <w:right w:w="0" w:type="dxa"/>
        </w:tblCellMar>
      </w:tblPr>
      <w:tblGrid>
        <w:gridCol w:w="2024"/>
        <w:gridCol w:w="878"/>
        <w:gridCol w:w="1975"/>
        <w:gridCol w:w="1175"/>
        <w:gridCol w:w="2264"/>
      </w:tblGrid>
      <w:tr w14:paraId="6D21DEEE">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4590BB7">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11997C0B">
            <w:pPr>
              <w:topLinePunct/>
              <w:autoSpaceDE w:val="0"/>
              <w:spacing w:after="0" w:line="240" w:lineRule="auto"/>
              <w:jc w:val="center"/>
              <w:rPr>
                <w:rFonts w:hint="eastAsia" w:ascii="宋体" w:hAnsi="宋体" w:eastAsia="宋体" w:cs="宋体"/>
                <w:color w:val="auto"/>
                <w:sz w:val="21"/>
                <w:szCs w:val="21"/>
                <w:highlight w:val="none"/>
              </w:rPr>
            </w:pPr>
          </w:p>
        </w:tc>
      </w:tr>
      <w:tr w14:paraId="70BDDD6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E7A6C20">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14:paraId="0A8D4322">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64BF457">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666B2677">
            <w:pPr>
              <w:topLinePunct/>
              <w:autoSpaceDE w:val="0"/>
              <w:spacing w:after="0" w:line="240" w:lineRule="auto"/>
              <w:jc w:val="center"/>
              <w:rPr>
                <w:rFonts w:hint="eastAsia" w:ascii="宋体" w:hAnsi="宋体" w:eastAsia="宋体" w:cs="宋体"/>
                <w:color w:val="auto"/>
                <w:sz w:val="21"/>
                <w:szCs w:val="21"/>
                <w:highlight w:val="none"/>
              </w:rPr>
            </w:pPr>
          </w:p>
        </w:tc>
      </w:tr>
      <w:tr w14:paraId="5DD8032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236228D">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037E43A3">
            <w:pPr>
              <w:topLinePunct/>
              <w:autoSpaceDE w:val="0"/>
              <w:spacing w:after="0" w:line="240" w:lineRule="auto"/>
              <w:jc w:val="center"/>
              <w:rPr>
                <w:rFonts w:hint="eastAsia" w:ascii="宋体" w:hAnsi="宋体" w:eastAsia="宋体" w:cs="宋体"/>
                <w:color w:val="auto"/>
                <w:sz w:val="21"/>
                <w:szCs w:val="21"/>
                <w:highlight w:val="none"/>
              </w:rPr>
            </w:pPr>
          </w:p>
        </w:tc>
      </w:tr>
      <w:tr w14:paraId="0130910E">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3FCD801">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853" w:type="dxa"/>
            <w:gridSpan w:val="2"/>
            <w:tcBorders>
              <w:top w:val="single" w:color="000000" w:sz="4" w:space="0"/>
              <w:left w:val="single" w:color="000000" w:sz="4" w:space="0"/>
              <w:bottom w:val="single" w:color="000000" w:sz="4" w:space="0"/>
              <w:right w:val="single" w:color="000000" w:sz="4" w:space="0"/>
            </w:tcBorders>
            <w:noWrap w:val="0"/>
            <w:vAlign w:val="center"/>
          </w:tcPr>
          <w:p w14:paraId="3D0A1066">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62C457DA">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F34EBD1">
            <w:pPr>
              <w:topLinePunct/>
              <w:autoSpaceDE w:val="0"/>
              <w:spacing w:after="0" w:line="240" w:lineRule="auto"/>
              <w:jc w:val="center"/>
              <w:rPr>
                <w:rFonts w:hint="eastAsia" w:ascii="宋体" w:hAnsi="宋体" w:eastAsia="宋体" w:cs="宋体"/>
                <w:color w:val="auto"/>
                <w:sz w:val="21"/>
                <w:szCs w:val="21"/>
                <w:highlight w:val="none"/>
              </w:rPr>
            </w:pPr>
          </w:p>
        </w:tc>
      </w:tr>
      <w:tr w14:paraId="27285CE8">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367B6">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05E03BB">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5079C14D">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53ED58B0">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0EAD5EF4">
            <w:pPr>
              <w:topLinePunct/>
              <w:autoSpaceDE w:val="0"/>
              <w:spacing w:after="0" w:line="240" w:lineRule="auto"/>
              <w:jc w:val="center"/>
              <w:rPr>
                <w:rFonts w:hint="eastAsia" w:ascii="宋体" w:hAnsi="宋体" w:eastAsia="宋体" w:cs="宋体"/>
                <w:color w:val="auto"/>
                <w:sz w:val="21"/>
                <w:szCs w:val="21"/>
                <w:highlight w:val="none"/>
              </w:rPr>
            </w:pPr>
          </w:p>
        </w:tc>
      </w:tr>
      <w:tr w14:paraId="4A3F71D0">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9611B">
            <w:pPr>
              <w:topLinePunct/>
              <w:autoSpaceDE w:val="0"/>
              <w:spacing w:after="0" w:line="240" w:lineRule="auto"/>
              <w:jc w:val="center"/>
              <w:rPr>
                <w:rFonts w:hint="eastAsia" w:ascii="宋体" w:hAnsi="宋体" w:eastAsia="宋体" w:cs="宋体"/>
                <w:color w:val="auto"/>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68C1727A">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10FE49E3">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795EB071">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54AEA2EA">
            <w:pPr>
              <w:topLinePunct/>
              <w:autoSpaceDE w:val="0"/>
              <w:spacing w:after="0" w:line="240" w:lineRule="auto"/>
              <w:jc w:val="center"/>
              <w:rPr>
                <w:rFonts w:hint="eastAsia" w:ascii="宋体" w:hAnsi="宋体" w:eastAsia="宋体" w:cs="宋体"/>
                <w:color w:val="auto"/>
                <w:sz w:val="21"/>
                <w:szCs w:val="21"/>
                <w:highlight w:val="none"/>
              </w:rPr>
            </w:pPr>
          </w:p>
        </w:tc>
      </w:tr>
      <w:tr w14:paraId="7C9C62D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EBD7015">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6950787">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7AAE8FF6">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107A03DC">
            <w:pPr>
              <w:topLinePunct/>
              <w:autoSpaceDE w:val="0"/>
              <w:spacing w:after="0" w:line="240" w:lineRule="auto"/>
              <w:jc w:val="center"/>
              <w:rPr>
                <w:rFonts w:hint="eastAsia" w:ascii="宋体" w:hAnsi="宋体" w:eastAsia="宋体" w:cs="宋体"/>
                <w:color w:val="auto"/>
                <w:sz w:val="21"/>
                <w:szCs w:val="21"/>
                <w:highlight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16D41C6">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14:paraId="291248D9">
            <w:pPr>
              <w:topLinePunct/>
              <w:autoSpaceDE w:val="0"/>
              <w:spacing w:after="0" w:line="240" w:lineRule="auto"/>
              <w:jc w:val="center"/>
              <w:rPr>
                <w:rFonts w:hint="eastAsia" w:ascii="宋体" w:hAnsi="宋体" w:eastAsia="宋体" w:cs="宋体"/>
                <w:color w:val="auto"/>
                <w:sz w:val="21"/>
                <w:szCs w:val="21"/>
                <w:highlight w:val="none"/>
              </w:rPr>
            </w:pPr>
          </w:p>
        </w:tc>
      </w:tr>
      <w:tr w14:paraId="1D20095E">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7EB483D">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46D69A7E">
            <w:pPr>
              <w:topLinePunct/>
              <w:autoSpaceDE w:val="0"/>
              <w:spacing w:after="0" w:line="240" w:lineRule="auto"/>
              <w:jc w:val="center"/>
              <w:rPr>
                <w:rFonts w:hint="eastAsia" w:ascii="宋体" w:hAnsi="宋体" w:eastAsia="宋体" w:cs="宋体"/>
                <w:color w:val="auto"/>
                <w:sz w:val="21"/>
                <w:szCs w:val="21"/>
                <w:highlight w:val="none"/>
              </w:rPr>
            </w:pPr>
          </w:p>
        </w:tc>
      </w:tr>
      <w:tr w14:paraId="6AEF4B3E">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D3E6206">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345C42CA">
            <w:pPr>
              <w:topLinePunct/>
              <w:autoSpaceDE w:val="0"/>
              <w:spacing w:after="0" w:line="240" w:lineRule="auto"/>
              <w:jc w:val="center"/>
              <w:rPr>
                <w:rFonts w:hint="eastAsia" w:ascii="宋体" w:hAnsi="宋体" w:eastAsia="宋体" w:cs="宋体"/>
                <w:color w:val="auto"/>
                <w:sz w:val="21"/>
                <w:szCs w:val="21"/>
                <w:highlight w:val="none"/>
              </w:rPr>
            </w:pPr>
          </w:p>
        </w:tc>
      </w:tr>
      <w:tr w14:paraId="118AFCC5">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2490258">
            <w:pPr>
              <w:topLinePunct/>
              <w:autoSpaceDE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23BF6DB7">
            <w:pPr>
              <w:topLinePunct/>
              <w:autoSpaceDE w:val="0"/>
              <w:spacing w:after="0" w:line="240" w:lineRule="auto"/>
              <w:jc w:val="center"/>
              <w:rPr>
                <w:rFonts w:hint="eastAsia" w:ascii="宋体" w:hAnsi="宋体" w:eastAsia="宋体" w:cs="宋体"/>
                <w:color w:val="auto"/>
                <w:sz w:val="21"/>
                <w:szCs w:val="21"/>
                <w:highlight w:val="none"/>
              </w:rPr>
            </w:pPr>
          </w:p>
        </w:tc>
      </w:tr>
    </w:tbl>
    <w:p w14:paraId="2C4037C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DBBF93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1.投标人应在本表后附营业执照等相关证明材料</w:t>
      </w:r>
      <w:r>
        <w:rPr>
          <w:rFonts w:hint="eastAsia" w:ascii="宋体" w:hAnsi="宋体" w:eastAsia="宋体" w:cs="宋体"/>
          <w:color w:val="auto"/>
          <w:sz w:val="21"/>
          <w:szCs w:val="21"/>
          <w:highlight w:val="none"/>
          <w:lang w:val="en-US" w:eastAsia="zh-CN"/>
        </w:rPr>
        <w:t>（复印件需加盖单位公章）</w:t>
      </w:r>
      <w:r>
        <w:rPr>
          <w:rFonts w:hint="eastAsia" w:ascii="宋体" w:hAnsi="宋体" w:eastAsia="宋体" w:cs="宋体"/>
          <w:color w:val="auto"/>
          <w:sz w:val="21"/>
          <w:szCs w:val="21"/>
          <w:highlight w:val="none"/>
        </w:rPr>
        <w:t>。</w:t>
      </w:r>
    </w:p>
    <w:p w14:paraId="6C035894">
      <w:pPr>
        <w:spacing w:after="0" w:line="36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 “员工总数”须是投标人签订劳动合同并为其缴纳社会保险的公司正式员工，可附社保缴纳证明佐证。</w:t>
      </w:r>
    </w:p>
    <w:p w14:paraId="7B723DAC">
      <w:pPr>
        <w:rPr>
          <w:rFonts w:hint="eastAsia"/>
          <w:color w:val="auto"/>
          <w:highlight w:val="none"/>
        </w:rPr>
      </w:pPr>
    </w:p>
    <w:p w14:paraId="0717D926">
      <w:pPr>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二</w:t>
      </w:r>
      <w:r>
        <w:rPr>
          <w:rFonts w:hint="eastAsia" w:ascii="宋体" w:hAnsi="宋体" w:eastAsia="宋体" w:cs="宋体"/>
          <w:color w:val="auto"/>
          <w:sz w:val="21"/>
          <w:szCs w:val="21"/>
          <w:highlight w:val="none"/>
        </w:rPr>
        <w:t>）资格证明文件</w:t>
      </w:r>
    </w:p>
    <w:p w14:paraId="659307B5">
      <w:pPr>
        <w:rPr>
          <w:rFonts w:hint="eastAsia"/>
          <w:color w:val="auto"/>
          <w:highlight w:val="none"/>
        </w:rPr>
      </w:pPr>
      <w:r>
        <w:rPr>
          <w:rFonts w:hint="eastAsia"/>
          <w:color w:val="auto"/>
          <w:highlight w:val="none"/>
          <w:lang w:val="en-US" w:eastAsia="zh-CN"/>
        </w:rPr>
        <w:t>1. 招标公告中涉及“投标人资格要求”的1-5项证明文件、承诺书等材料（所有复印件均需加盖单位公章，原件备查）；</w:t>
      </w:r>
    </w:p>
    <w:p w14:paraId="48FFC959">
      <w:pPr>
        <w:rPr>
          <w:rFonts w:hint="eastAsia"/>
          <w:color w:val="auto"/>
          <w:highlight w:val="none"/>
        </w:rPr>
      </w:pPr>
      <w:r>
        <w:rPr>
          <w:rFonts w:hint="eastAsia"/>
          <w:color w:val="auto"/>
          <w:highlight w:val="none"/>
          <w:lang w:val="en-US" w:eastAsia="zh-CN"/>
        </w:rPr>
        <w:t>2. 投标人认为需提交的其它证明材料（如资质证书、业绩证明、信用证明等，复印件加盖单位公章）。</w:t>
      </w:r>
    </w:p>
    <w:p w14:paraId="2C2DBB63">
      <w:pPr>
        <w:rPr>
          <w:rFonts w:hint="eastAsia"/>
          <w:color w:val="auto"/>
          <w:highlight w:val="none"/>
        </w:rPr>
      </w:pPr>
      <w:r>
        <w:rPr>
          <w:rFonts w:hint="eastAsia"/>
          <w:color w:val="auto"/>
          <w:highlight w:val="none"/>
          <w:lang w:val="en-US" w:eastAsia="zh-CN"/>
        </w:rPr>
        <w:t>（附：证明文件粘贴页/附件清单，按顺序整理粘贴，标注对应资格要求序号）</w:t>
      </w:r>
      <w:r>
        <w:rPr>
          <w:rFonts w:hint="eastAsia"/>
          <w:color w:val="auto"/>
          <w:highlight w:val="none"/>
        </w:rPr>
        <w:br w:type="page"/>
      </w:r>
    </w:p>
    <w:p w14:paraId="4B5B53AE">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68" w:name="_Toc32119"/>
      <w:bookmarkStart w:id="69" w:name="_Toc16830"/>
      <w:bookmarkStart w:id="70" w:name="_Toc5612"/>
      <w:bookmarkStart w:id="71" w:name="_Toc31126"/>
      <w:bookmarkStart w:id="72" w:name="_Toc22744"/>
      <w:r>
        <w:rPr>
          <w:rFonts w:hint="eastAsia" w:ascii="宋体" w:hAnsi="宋体" w:eastAsia="宋体" w:cs="宋体"/>
          <w:b/>
          <w:bCs/>
          <w:color w:val="auto"/>
          <w:sz w:val="21"/>
          <w:szCs w:val="21"/>
          <w:highlight w:val="none"/>
          <w:lang w:val="en-US" w:eastAsia="zh-CN"/>
        </w:rPr>
        <w:t>六、供应商廉洁承诺书</w:t>
      </w:r>
      <w:bookmarkEnd w:id="68"/>
      <w:bookmarkEnd w:id="69"/>
      <w:bookmarkEnd w:id="70"/>
      <w:bookmarkEnd w:id="71"/>
      <w:bookmarkEnd w:id="72"/>
    </w:p>
    <w:p w14:paraId="3C74C7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安徽新安银行股份有限公司： </w:t>
      </w:r>
    </w:p>
    <w:p w14:paraId="598151FF">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本着遵循集中采购公开透明、公平竞争和诚实信用原则，我单位申请作为贵行集中采购供应商，自愿遵守以下廉洁承诺：</w:t>
      </w:r>
    </w:p>
    <w:p w14:paraId="640A4B10">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一、不向贵行相关工作人员及其配偶、近亲属赠送礼金、有价证券（卡）、物品、好处费等；</w:t>
      </w:r>
    </w:p>
    <w:p w14:paraId="0AC8A9B2">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二、不给贵行相关工作人员及其配偶、近亲属报销各种费用，支付各种名义的佣金、中介费、咨询费；</w:t>
      </w:r>
    </w:p>
    <w:p w14:paraId="7DD10AF3">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三、不给贵行相关工作人员及其配偶、近亲属提供通讯设备、手提电脑、交通工具；</w:t>
      </w:r>
    </w:p>
    <w:p w14:paraId="4421CE44">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四、不邀请贵行相关工作人员及其配偶、近亲属参与高消费餐饮、娱乐或旅游等；</w:t>
      </w:r>
    </w:p>
    <w:p w14:paraId="2ED86A13">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五、不邀请贵行相关工作人员及其配偶、近亲属参与以钱物为赌注的打牌、打麻将或涉“黄”、涉毒等活动；</w:t>
      </w:r>
    </w:p>
    <w:p w14:paraId="39721C74">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六、不以低于市场价格为贵行相关工作人员装修住房或购买物品；</w:t>
      </w:r>
    </w:p>
    <w:p w14:paraId="58D73008">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七、不邀请贵行相关工作人员及其配偶、近亲属参与我单位的投资参股、合伙做生意等；</w:t>
      </w:r>
    </w:p>
    <w:p w14:paraId="71423559">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八、不与贵行相关工作人员及其配偶、近亲属发生非正常资金往来；</w:t>
      </w:r>
    </w:p>
    <w:p w14:paraId="07204B64">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九、不向贵行相关工作人员及其配偶、近亲属输送或变相输送其他不正当利益；</w:t>
      </w:r>
    </w:p>
    <w:p w14:paraId="01C9AF39">
      <w:pPr>
        <w:spacing w:line="360" w:lineRule="auto"/>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十、积极配合贵行调查、检查等工作，及时提供相关资料和客观信息。如违反上述任何承诺之一的，贵行可取消我单位的供应商资格。</w:t>
      </w:r>
    </w:p>
    <w:p w14:paraId="3CD2BF38">
      <w:pPr>
        <w:spacing w:line="360" w:lineRule="auto"/>
        <w:rPr>
          <w:rFonts w:hint="eastAsia" w:ascii="宋体" w:hAnsi="宋体" w:eastAsia="宋体" w:cs="宋体"/>
          <w:color w:val="auto"/>
          <w:sz w:val="21"/>
          <w:szCs w:val="21"/>
          <w:highlight w:val="none"/>
        </w:rPr>
      </w:pPr>
    </w:p>
    <w:p w14:paraId="3C350550">
      <w:pPr>
        <w:spacing w:line="360" w:lineRule="auto"/>
        <w:ind w:firstLine="640"/>
        <w:rPr>
          <w:rFonts w:hint="eastAsia"/>
          <w:color w:val="auto"/>
          <w:highlight w:val="none"/>
        </w:rPr>
      </w:pPr>
      <w:r>
        <w:rPr>
          <w:rFonts w:hint="eastAsia" w:ascii="宋体" w:hAnsi="宋体" w:eastAsia="宋体" w:cs="宋体"/>
          <w:color w:val="auto"/>
          <w:sz w:val="21"/>
          <w:szCs w:val="21"/>
          <w:highlight w:val="none"/>
        </w:rPr>
        <w:t>承诺人：</w:t>
      </w:r>
      <w:r>
        <w:rPr>
          <w:rFonts w:hint="eastAsia" w:ascii="宋体" w:hAnsi="宋体" w:eastAsia="宋体" w:cs="宋体"/>
          <w:color w:val="auto"/>
          <w:sz w:val="21"/>
          <w:szCs w:val="21"/>
          <w:highlight w:val="none"/>
          <w:u w:val="single"/>
        </w:rPr>
        <w:t xml:space="preserve">                        </w:t>
      </w:r>
      <w:r>
        <w:rPr>
          <w:rFonts w:hint="eastAsia"/>
          <w:color w:val="auto"/>
          <w:highlight w:val="none"/>
        </w:rPr>
        <w:t>（</w:t>
      </w:r>
      <w:r>
        <w:rPr>
          <w:rFonts w:hint="eastAsia"/>
          <w:color w:val="auto"/>
          <w:highlight w:val="none"/>
          <w:lang w:val="en-US" w:eastAsia="zh-CN"/>
        </w:rPr>
        <w:t>盖</w:t>
      </w:r>
      <w:r>
        <w:rPr>
          <w:rFonts w:hint="eastAsia"/>
          <w:color w:val="auto"/>
          <w:highlight w:val="none"/>
        </w:rPr>
        <w:t>单位公章）</w:t>
      </w:r>
    </w:p>
    <w:p w14:paraId="2094FA0E">
      <w:pPr>
        <w:spacing w:line="360" w:lineRule="auto"/>
        <w:ind w:firstLine="64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承诺日期：</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日</w:t>
      </w:r>
    </w:p>
    <w:p w14:paraId="74891E09">
      <w:pPr>
        <w:rPr>
          <w:rFonts w:hint="eastAsia"/>
          <w:color w:val="auto"/>
          <w:highlight w:val="none"/>
        </w:rPr>
      </w:pPr>
    </w:p>
    <w:p w14:paraId="2CA226E0">
      <w:pPr>
        <w:pageBreakBefore/>
        <w:spacing w:after="0" w:line="360" w:lineRule="auto"/>
        <w:jc w:val="center"/>
        <w:outlineLvl w:val="2"/>
        <w:rPr>
          <w:rFonts w:hint="default" w:ascii="宋体" w:hAnsi="宋体" w:eastAsia="宋体" w:cs="宋体"/>
          <w:b/>
          <w:bCs/>
          <w:color w:val="auto"/>
          <w:sz w:val="21"/>
          <w:szCs w:val="21"/>
          <w:highlight w:val="none"/>
          <w:lang w:val="en-US" w:eastAsia="zh-CN"/>
        </w:rPr>
      </w:pPr>
      <w:bookmarkStart w:id="73" w:name="_Toc7108"/>
      <w:bookmarkStart w:id="74" w:name="_Toc214"/>
      <w:bookmarkStart w:id="75" w:name="_Toc6523"/>
      <w:bookmarkStart w:id="76" w:name="_Toc5658"/>
      <w:bookmarkStart w:id="77" w:name="_Toc1179"/>
      <w:r>
        <w:rPr>
          <w:rFonts w:hint="eastAsia" w:ascii="宋体" w:hAnsi="宋体" w:eastAsia="宋体" w:cs="宋体"/>
          <w:b/>
          <w:bCs/>
          <w:color w:val="auto"/>
          <w:sz w:val="21"/>
          <w:szCs w:val="21"/>
          <w:highlight w:val="none"/>
          <w:lang w:val="en-US" w:eastAsia="zh-CN"/>
        </w:rPr>
        <w:t>七、投标</w:t>
      </w:r>
      <w:r>
        <w:rPr>
          <w:rFonts w:hint="eastAsia" w:ascii="宋体" w:hAnsi="宋体" w:eastAsia="宋体" w:cs="宋体"/>
          <w:b/>
          <w:bCs/>
          <w:color w:val="auto"/>
          <w:sz w:val="21"/>
          <w:szCs w:val="21"/>
          <w:highlight w:val="none"/>
          <w:lang w:val="zh-CN" w:eastAsia="zh-CN"/>
        </w:rPr>
        <w:t>承诺</w:t>
      </w:r>
      <w:r>
        <w:rPr>
          <w:rFonts w:hint="eastAsia" w:cs="宋体"/>
          <w:b/>
          <w:bCs/>
          <w:color w:val="auto"/>
          <w:sz w:val="21"/>
          <w:szCs w:val="21"/>
          <w:highlight w:val="none"/>
          <w:lang w:val="en-US" w:eastAsia="zh-CN"/>
        </w:rPr>
        <w:t>书</w:t>
      </w:r>
      <w:bookmarkEnd w:id="73"/>
      <w:bookmarkEnd w:id="74"/>
      <w:bookmarkEnd w:id="75"/>
      <w:bookmarkEnd w:id="76"/>
      <w:bookmarkEnd w:id="77"/>
    </w:p>
    <w:p w14:paraId="2A119D35">
      <w:pPr>
        <w:autoSpaceDE w:val="0"/>
        <w:autoSpaceDN w:val="0"/>
        <w:adjustRightInd w:val="0"/>
        <w:jc w:val="center"/>
        <w:rPr>
          <w:rFonts w:hint="eastAsia" w:ascii="宋体" w:hAnsi="宋体" w:eastAsia="宋体" w:cs="宋体"/>
          <w:b/>
          <w:color w:val="auto"/>
          <w:sz w:val="21"/>
          <w:szCs w:val="21"/>
          <w:highlight w:val="none"/>
          <w:lang w:val="zh-CN"/>
        </w:rPr>
      </w:pPr>
    </w:p>
    <w:p w14:paraId="16FC9CB8">
      <w:pPr>
        <w:autoSpaceDE w:val="0"/>
        <w:autoSpaceDN w:val="0"/>
        <w:adjustRightIn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致：安徽新安银行股份有限公司：</w:t>
      </w:r>
    </w:p>
    <w:p w14:paraId="042B0932">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鉴于“安徽新安银行零信任设备采购项目”（项目相关信息以招标文件为准）的特点及要求，我方</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zh-CN" w:eastAsia="zh-CN" w:bidi="ar-SA"/>
        </w:rPr>
        <w:t>（投标</w:t>
      </w:r>
      <w:r>
        <w:rPr>
          <w:rFonts w:hint="eastAsia" w:cs="宋体"/>
          <w:color w:val="auto"/>
          <w:kern w:val="2"/>
          <w:sz w:val="21"/>
          <w:szCs w:val="21"/>
          <w:highlight w:val="none"/>
          <w:lang w:val="en-US" w:eastAsia="zh-CN" w:bidi="ar-SA"/>
        </w:rPr>
        <w:t>人</w:t>
      </w:r>
      <w:r>
        <w:rPr>
          <w:rFonts w:hint="eastAsia" w:ascii="宋体" w:hAnsi="宋体" w:eastAsia="宋体" w:cs="宋体"/>
          <w:color w:val="auto"/>
          <w:kern w:val="2"/>
          <w:sz w:val="21"/>
          <w:szCs w:val="21"/>
          <w:highlight w:val="none"/>
          <w:lang w:val="zh-CN" w:eastAsia="zh-CN" w:bidi="ar-SA"/>
        </w:rPr>
        <w:t>）郑重作出如下承诺，愿接受招标人监督，若违反下述任何一条，自愿承担相应法律责任及由此产生的一切损失：</w:t>
      </w:r>
    </w:p>
    <w:p w14:paraId="394FC2D5">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本次采购报价所提供的全部产品及相关服务，在招标文件规定的质量保证期内，均严格满足招标文件、技术规格书及相关补充文件的全部要求，产品质量合格、性能稳定，服务响应及时、符合标准，无任何虚假承诺或违规隐瞒。</w:t>
      </w:r>
    </w:p>
    <w:p w14:paraId="1D164740">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zh-CN" w:eastAsia="zh-CN" w:bidi="ar-SA"/>
        </w:rPr>
      </w:pPr>
    </w:p>
    <w:p w14:paraId="4F66BE26">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不论本次采购项目我方是否中标，我方均对在参与本项目过程中所获取的与该项目相关的全部招标文件、技术资料、招标人商业信息及其他一切相关文件、数据严格履行保密义务，严禁私自复制、传播、泄露。同时，我方将对所有参与本项目采购工作的相关人员进行严格管理，对其使用上述信息、资料、文件的情况进行详细登记备案，明确保密责任。若我方中标，未经招标人书面同意，绝不将与本项目有关的任何资料、信息发表、公布或向任何第三方泄露。一旦发现或收到举报，确认我方人员存在泄密或其他违反本条承诺的行为，经招标人核实后，我方除立即对相关责任人员予以内部严肃处分外，完全接受招标人作出的一切处理意见，并承担由此给招标人造成的全部损失、相关后果及相应法律责任。</w:t>
      </w:r>
    </w:p>
    <w:p w14:paraId="04B99237">
      <w:pPr>
        <w:autoSpaceDE w:val="0"/>
        <w:autoSpaceDN w:val="0"/>
        <w:adjustRightInd w:val="0"/>
        <w:ind w:firstLine="6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特此承诺。</w:t>
      </w:r>
    </w:p>
    <w:p w14:paraId="391FD902">
      <w:pPr>
        <w:bidi w:val="0"/>
        <w:rPr>
          <w:rFonts w:hint="eastAsia"/>
          <w:color w:val="auto"/>
          <w:highlight w:val="none"/>
          <w:lang w:val="zh-CN" w:eastAsia="zh-CN"/>
        </w:rPr>
      </w:pPr>
    </w:p>
    <w:p w14:paraId="55300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承诺人</w:t>
      </w: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盖</w:t>
      </w:r>
      <w:r>
        <w:rPr>
          <w:rFonts w:hint="eastAsia" w:ascii="宋体" w:hAnsi="宋体" w:eastAsia="宋体" w:cs="宋体"/>
          <w:color w:val="auto"/>
          <w:kern w:val="2"/>
          <w:sz w:val="21"/>
          <w:szCs w:val="21"/>
          <w:highlight w:val="none"/>
          <w:lang w:val="zh-CN" w:eastAsia="zh-CN" w:bidi="ar-SA"/>
        </w:rPr>
        <w:t>单位公章）</w:t>
      </w:r>
    </w:p>
    <w:p w14:paraId="12068BDC">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eastAsia="zh-CN"/>
        </w:rPr>
        <w:t>授权代表人（签字）：</w:t>
      </w:r>
      <w:r>
        <w:rPr>
          <w:rFonts w:hint="eastAsia" w:ascii="宋体" w:hAnsi="宋体" w:eastAsia="宋体" w:cs="宋体"/>
          <w:color w:val="auto"/>
          <w:kern w:val="2"/>
          <w:sz w:val="21"/>
          <w:szCs w:val="21"/>
          <w:highlight w:val="none"/>
          <w:u w:val="single"/>
          <w:lang w:val="en-US" w:eastAsia="zh-CN" w:bidi="ar-SA"/>
        </w:rPr>
        <w:t xml:space="preserve">                     </w:t>
      </w:r>
    </w:p>
    <w:p w14:paraId="597A3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cs="宋体"/>
          <w:color w:val="auto"/>
          <w:kern w:val="2"/>
          <w:sz w:val="21"/>
          <w:szCs w:val="21"/>
          <w:highlight w:val="none"/>
          <w:lang w:val="zh-CN" w:eastAsia="zh-CN" w:bidi="ar-SA"/>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日</w:t>
      </w:r>
    </w:p>
    <w:p w14:paraId="2CA6C7E3">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78" w:name="_Toc14202"/>
      <w:bookmarkStart w:id="79" w:name="_Toc15433"/>
      <w:bookmarkStart w:id="80" w:name="_Toc2433"/>
      <w:bookmarkStart w:id="81" w:name="_Toc23654"/>
      <w:bookmarkStart w:id="82" w:name="_Toc22830"/>
      <w:r>
        <w:rPr>
          <w:rFonts w:hint="eastAsia" w:ascii="宋体" w:hAnsi="宋体" w:eastAsia="宋体" w:cs="宋体"/>
          <w:b/>
          <w:bCs/>
          <w:color w:val="auto"/>
          <w:sz w:val="21"/>
          <w:szCs w:val="21"/>
          <w:highlight w:val="none"/>
          <w:lang w:val="en-US" w:eastAsia="zh-CN"/>
        </w:rPr>
        <w:t>八、投标人信用承诺</w:t>
      </w:r>
      <w:bookmarkEnd w:id="78"/>
      <w:bookmarkEnd w:id="79"/>
      <w:bookmarkEnd w:id="80"/>
      <w:bookmarkEnd w:id="81"/>
      <w:bookmarkEnd w:id="82"/>
    </w:p>
    <w:p w14:paraId="541F32F0">
      <w:pPr>
        <w:rPr>
          <w:rFonts w:hint="eastAsia" w:ascii="宋体" w:hAnsi="宋体" w:eastAsia="宋体" w:cs="宋体"/>
          <w:color w:val="auto"/>
          <w:sz w:val="21"/>
          <w:szCs w:val="21"/>
          <w:highlight w:val="none"/>
          <w:lang w:val="en-US" w:eastAsia="zh-CN"/>
        </w:rPr>
      </w:pPr>
    </w:p>
    <w:p w14:paraId="62FB9CE5">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我公司申明，我公司无以下不良信用记录情形：</w:t>
      </w:r>
    </w:p>
    <w:p w14:paraId="3792B57B">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1.公司被人民法院列入失信被执行人；</w:t>
      </w:r>
    </w:p>
    <w:p w14:paraId="1B883413">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2.公司、公司法定代表人被人民检察院列入行贿犯罪档案；</w:t>
      </w:r>
    </w:p>
    <w:p w14:paraId="6679EF88">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3.公司被工商行政管理部门列入企业经营异常名录；</w:t>
      </w:r>
    </w:p>
    <w:p w14:paraId="5ED6933E">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4.公司被税务部门列入重大税收违法案件当事人名单的；</w:t>
      </w:r>
    </w:p>
    <w:p w14:paraId="44F446BA">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5.参加本次投标活动前三年内，在服务活动中没有重大违法及安全事故记录。</w:t>
      </w:r>
    </w:p>
    <w:p w14:paraId="2D53EC3B">
      <w:pPr>
        <w:autoSpaceDE w:val="0"/>
        <w:autoSpaceDN w:val="0"/>
        <w:adjustRightInd w:val="0"/>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14:paraId="7847F590">
      <w:pPr>
        <w:rPr>
          <w:rFonts w:hint="eastAsia"/>
          <w:color w:val="auto"/>
          <w:highlight w:val="none"/>
        </w:rPr>
      </w:pPr>
      <w:r>
        <w:rPr>
          <w:rFonts w:hint="eastAsia"/>
          <w:color w:val="auto"/>
          <w:highlight w:val="none"/>
          <w:lang w:val="en-US" w:eastAsia="zh-CN"/>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（盖单位公章）</w:t>
      </w:r>
    </w:p>
    <w:p w14:paraId="5068F1B2">
      <w:pPr>
        <w:rPr>
          <w:rFonts w:hint="eastAsia"/>
          <w:color w:val="auto"/>
          <w:highlight w:val="none"/>
        </w:rPr>
      </w:pPr>
      <w:r>
        <w:rPr>
          <w:rFonts w:hint="eastAsia"/>
          <w:color w:val="auto"/>
          <w:highlight w:val="none"/>
          <w:lang w:val="en-US" w:eastAsia="zh-CN"/>
        </w:rPr>
        <w:t>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color w:val="auto"/>
          <w:highlight w:val="none"/>
          <w:lang w:val="en-US" w:eastAsia="zh-CN"/>
        </w:rPr>
        <w:t>日</w:t>
      </w:r>
    </w:p>
    <w:p w14:paraId="1F0F6171">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83" w:name="_Toc18352"/>
      <w:bookmarkStart w:id="84" w:name="_Toc138"/>
      <w:bookmarkStart w:id="85" w:name="_Toc29319"/>
      <w:bookmarkStart w:id="86" w:name="_Toc8522"/>
      <w:bookmarkStart w:id="87" w:name="_Toc26766"/>
      <w:r>
        <w:rPr>
          <w:rFonts w:hint="eastAsia" w:ascii="宋体" w:hAnsi="宋体" w:eastAsia="宋体" w:cs="宋体"/>
          <w:b/>
          <w:bCs/>
          <w:color w:val="auto"/>
          <w:sz w:val="21"/>
          <w:szCs w:val="21"/>
          <w:highlight w:val="none"/>
          <w:lang w:val="en-US" w:eastAsia="zh-CN"/>
        </w:rPr>
        <w:t>九、技术参数响应（偏离）表格式</w:t>
      </w:r>
      <w:bookmarkEnd w:id="83"/>
      <w:bookmarkEnd w:id="84"/>
      <w:bookmarkEnd w:id="85"/>
      <w:bookmarkEnd w:id="86"/>
      <w:bookmarkEnd w:id="87"/>
    </w:p>
    <w:p w14:paraId="7B1FCFFE">
      <w:pPr>
        <w:spacing w:line="180" w:lineRule="exact"/>
        <w:rPr>
          <w:rFonts w:hint="eastAsia" w:ascii="宋体" w:hAnsi="宋体" w:eastAsia="宋体" w:cs="宋体"/>
          <w:color w:val="auto"/>
          <w:sz w:val="21"/>
          <w:szCs w:val="21"/>
          <w:highlight w:val="none"/>
        </w:rPr>
      </w:pPr>
    </w:p>
    <w:tbl>
      <w:tblPr>
        <w:tblStyle w:val="35"/>
        <w:tblW w:w="88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230"/>
        <w:gridCol w:w="1255"/>
        <w:gridCol w:w="2163"/>
        <w:gridCol w:w="1696"/>
        <w:gridCol w:w="1780"/>
      </w:tblGrid>
      <w:tr w14:paraId="1782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694" w:type="dxa"/>
            <w:vAlign w:val="center"/>
          </w:tcPr>
          <w:p w14:paraId="0CCDEF35">
            <w:pPr>
              <w:spacing w:before="40" w:line="221"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序号</w:t>
            </w:r>
          </w:p>
        </w:tc>
        <w:tc>
          <w:tcPr>
            <w:tcW w:w="1230" w:type="dxa"/>
            <w:vAlign w:val="center"/>
          </w:tcPr>
          <w:p w14:paraId="01A1CCAA">
            <w:pPr>
              <w:spacing w:before="40" w:line="221"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5"/>
                <w:sz w:val="21"/>
                <w:szCs w:val="21"/>
                <w:highlight w:val="none"/>
                <w:lang w:val="en-US" w:eastAsia="zh-CN"/>
              </w:rPr>
              <w:t>产品名称</w:t>
            </w:r>
          </w:p>
        </w:tc>
        <w:tc>
          <w:tcPr>
            <w:tcW w:w="1255" w:type="dxa"/>
            <w:vAlign w:val="center"/>
          </w:tcPr>
          <w:p w14:paraId="0B3CC55B">
            <w:pPr>
              <w:spacing w:before="40" w:line="221" w:lineRule="auto"/>
              <w:jc w:val="center"/>
              <w:rPr>
                <w:rFonts w:hint="default" w:ascii="宋体" w:hAnsi="宋体" w:eastAsia="宋体" w:cs="宋体"/>
                <w:b w:val="0"/>
                <w:bCs w:val="0"/>
                <w:color w:val="auto"/>
                <w:spacing w:val="-4"/>
                <w:sz w:val="21"/>
                <w:szCs w:val="21"/>
                <w:highlight w:val="none"/>
                <w:lang w:val="en-US" w:eastAsia="zh-CN"/>
              </w:rPr>
            </w:pPr>
            <w:r>
              <w:rPr>
                <w:rFonts w:hint="eastAsia" w:hAnsi="宋体" w:cs="宋体"/>
                <w:b w:val="0"/>
                <w:bCs w:val="0"/>
                <w:color w:val="auto"/>
                <w:spacing w:val="-4"/>
                <w:sz w:val="21"/>
                <w:szCs w:val="21"/>
                <w:highlight w:val="none"/>
                <w:lang w:val="en-US" w:eastAsia="zh-CN"/>
              </w:rPr>
              <w:t>品牌型号</w:t>
            </w:r>
          </w:p>
        </w:tc>
        <w:tc>
          <w:tcPr>
            <w:tcW w:w="2163" w:type="dxa"/>
            <w:vAlign w:val="center"/>
          </w:tcPr>
          <w:p w14:paraId="377435AE">
            <w:pPr>
              <w:spacing w:before="40" w:line="221" w:lineRule="auto"/>
              <w:jc w:val="center"/>
              <w:rPr>
                <w:rFonts w:hint="default" w:ascii="宋体" w:hAnsi="宋体" w:eastAsia="宋体" w:cs="宋体"/>
                <w:b w:val="0"/>
                <w:bCs w:val="0"/>
                <w:color w:val="auto"/>
                <w:sz w:val="21"/>
                <w:szCs w:val="21"/>
                <w:highlight w:val="none"/>
                <w:lang w:val="en-US"/>
              </w:rPr>
            </w:pPr>
            <w:r>
              <w:rPr>
                <w:rFonts w:hint="eastAsia" w:ascii="宋体" w:hAnsi="宋体" w:eastAsia="宋体" w:cs="宋体"/>
                <w:snapToGrid w:val="0"/>
                <w:color w:val="auto"/>
                <w:kern w:val="0"/>
                <w:sz w:val="21"/>
                <w:szCs w:val="21"/>
                <w:highlight w:val="none"/>
                <w:lang w:val="en-US" w:eastAsia="zh-CN" w:bidi="ar-SA"/>
              </w:rPr>
              <w:t>技术参数及要求</w:t>
            </w:r>
            <w:r>
              <w:rPr>
                <w:rFonts w:hint="eastAsia" w:hAnsi="宋体" w:cs="宋体"/>
                <w:snapToGrid w:val="0"/>
                <w:color w:val="auto"/>
                <w:kern w:val="0"/>
                <w:sz w:val="21"/>
                <w:szCs w:val="21"/>
                <w:highlight w:val="none"/>
                <w:lang w:val="en-US" w:eastAsia="zh-CN" w:bidi="ar-SA"/>
              </w:rPr>
              <w:t>配置</w:t>
            </w:r>
          </w:p>
        </w:tc>
        <w:tc>
          <w:tcPr>
            <w:tcW w:w="1696" w:type="dxa"/>
            <w:vAlign w:val="center"/>
          </w:tcPr>
          <w:p w14:paraId="5CBA6626">
            <w:pPr>
              <w:spacing w:before="40" w:line="222"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响应配置</w:t>
            </w:r>
          </w:p>
        </w:tc>
        <w:tc>
          <w:tcPr>
            <w:tcW w:w="1780" w:type="dxa"/>
            <w:vAlign w:val="center"/>
          </w:tcPr>
          <w:p w14:paraId="5E965967">
            <w:pPr>
              <w:spacing w:before="41" w:line="22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响应情况</w:t>
            </w:r>
          </w:p>
        </w:tc>
      </w:tr>
      <w:tr w14:paraId="11E68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694" w:type="dxa"/>
            <w:vAlign w:val="top"/>
          </w:tcPr>
          <w:p w14:paraId="70EB11BA">
            <w:pPr>
              <w:rPr>
                <w:rFonts w:hint="eastAsia" w:ascii="宋体" w:hAnsi="宋体" w:eastAsia="宋体" w:cs="宋体"/>
                <w:b w:val="0"/>
                <w:bCs w:val="0"/>
                <w:color w:val="auto"/>
                <w:sz w:val="21"/>
                <w:szCs w:val="21"/>
                <w:highlight w:val="none"/>
              </w:rPr>
            </w:pPr>
          </w:p>
        </w:tc>
        <w:tc>
          <w:tcPr>
            <w:tcW w:w="1230" w:type="dxa"/>
            <w:vAlign w:val="top"/>
          </w:tcPr>
          <w:p w14:paraId="1295C823">
            <w:pPr>
              <w:rPr>
                <w:rFonts w:hint="eastAsia" w:ascii="宋体" w:hAnsi="宋体" w:eastAsia="宋体" w:cs="宋体"/>
                <w:b w:val="0"/>
                <w:bCs w:val="0"/>
                <w:color w:val="auto"/>
                <w:sz w:val="21"/>
                <w:szCs w:val="21"/>
                <w:highlight w:val="none"/>
              </w:rPr>
            </w:pPr>
          </w:p>
        </w:tc>
        <w:tc>
          <w:tcPr>
            <w:tcW w:w="1255" w:type="dxa"/>
            <w:vAlign w:val="top"/>
          </w:tcPr>
          <w:p w14:paraId="680C0742">
            <w:pPr>
              <w:rPr>
                <w:rFonts w:hint="eastAsia" w:ascii="宋体" w:hAnsi="宋体" w:eastAsia="宋体" w:cs="宋体"/>
                <w:b w:val="0"/>
                <w:bCs w:val="0"/>
                <w:color w:val="auto"/>
                <w:sz w:val="21"/>
                <w:szCs w:val="21"/>
                <w:highlight w:val="none"/>
              </w:rPr>
            </w:pPr>
          </w:p>
        </w:tc>
        <w:tc>
          <w:tcPr>
            <w:tcW w:w="2163" w:type="dxa"/>
            <w:vAlign w:val="top"/>
          </w:tcPr>
          <w:p w14:paraId="601D1189">
            <w:pPr>
              <w:rPr>
                <w:rFonts w:hint="eastAsia" w:ascii="宋体" w:hAnsi="宋体" w:eastAsia="宋体" w:cs="宋体"/>
                <w:b w:val="0"/>
                <w:bCs w:val="0"/>
                <w:color w:val="auto"/>
                <w:sz w:val="21"/>
                <w:szCs w:val="21"/>
                <w:highlight w:val="none"/>
              </w:rPr>
            </w:pPr>
          </w:p>
        </w:tc>
        <w:tc>
          <w:tcPr>
            <w:tcW w:w="1696" w:type="dxa"/>
            <w:vAlign w:val="top"/>
          </w:tcPr>
          <w:p w14:paraId="085AA62A">
            <w:pPr>
              <w:rPr>
                <w:rFonts w:hint="eastAsia" w:ascii="宋体" w:hAnsi="宋体" w:eastAsia="宋体" w:cs="宋体"/>
                <w:b w:val="0"/>
                <w:bCs w:val="0"/>
                <w:color w:val="auto"/>
                <w:sz w:val="21"/>
                <w:szCs w:val="21"/>
                <w:highlight w:val="none"/>
              </w:rPr>
            </w:pPr>
          </w:p>
        </w:tc>
        <w:tc>
          <w:tcPr>
            <w:tcW w:w="1780" w:type="dxa"/>
            <w:vAlign w:val="top"/>
          </w:tcPr>
          <w:p w14:paraId="0D69FCD2">
            <w:pPr>
              <w:rPr>
                <w:rFonts w:hint="eastAsia" w:ascii="宋体" w:hAnsi="宋体" w:eastAsia="宋体" w:cs="宋体"/>
                <w:b w:val="0"/>
                <w:bCs w:val="0"/>
                <w:color w:val="auto"/>
                <w:sz w:val="21"/>
                <w:szCs w:val="21"/>
                <w:highlight w:val="none"/>
              </w:rPr>
            </w:pPr>
          </w:p>
        </w:tc>
      </w:tr>
      <w:tr w14:paraId="5CD76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94" w:type="dxa"/>
            <w:vAlign w:val="top"/>
          </w:tcPr>
          <w:p w14:paraId="4B7F0B38">
            <w:pPr>
              <w:rPr>
                <w:rFonts w:hint="eastAsia" w:ascii="宋体" w:hAnsi="宋体" w:eastAsia="宋体" w:cs="宋体"/>
                <w:b w:val="0"/>
                <w:bCs w:val="0"/>
                <w:color w:val="auto"/>
                <w:sz w:val="21"/>
                <w:szCs w:val="21"/>
                <w:highlight w:val="none"/>
              </w:rPr>
            </w:pPr>
          </w:p>
        </w:tc>
        <w:tc>
          <w:tcPr>
            <w:tcW w:w="1230" w:type="dxa"/>
            <w:vAlign w:val="top"/>
          </w:tcPr>
          <w:p w14:paraId="6E8A1B16">
            <w:pPr>
              <w:rPr>
                <w:rFonts w:hint="eastAsia" w:ascii="宋体" w:hAnsi="宋体" w:eastAsia="宋体" w:cs="宋体"/>
                <w:b w:val="0"/>
                <w:bCs w:val="0"/>
                <w:color w:val="auto"/>
                <w:sz w:val="21"/>
                <w:szCs w:val="21"/>
                <w:highlight w:val="none"/>
              </w:rPr>
            </w:pPr>
          </w:p>
        </w:tc>
        <w:tc>
          <w:tcPr>
            <w:tcW w:w="1255" w:type="dxa"/>
            <w:vAlign w:val="top"/>
          </w:tcPr>
          <w:p w14:paraId="3FDB6AA2">
            <w:pPr>
              <w:rPr>
                <w:rFonts w:hint="eastAsia" w:ascii="宋体" w:hAnsi="宋体" w:eastAsia="宋体" w:cs="宋体"/>
                <w:b w:val="0"/>
                <w:bCs w:val="0"/>
                <w:color w:val="auto"/>
                <w:sz w:val="21"/>
                <w:szCs w:val="21"/>
                <w:highlight w:val="none"/>
              </w:rPr>
            </w:pPr>
          </w:p>
        </w:tc>
        <w:tc>
          <w:tcPr>
            <w:tcW w:w="2163" w:type="dxa"/>
            <w:vAlign w:val="top"/>
          </w:tcPr>
          <w:p w14:paraId="3EB17C59">
            <w:pPr>
              <w:rPr>
                <w:rFonts w:hint="eastAsia" w:ascii="宋体" w:hAnsi="宋体" w:eastAsia="宋体" w:cs="宋体"/>
                <w:b w:val="0"/>
                <w:bCs w:val="0"/>
                <w:color w:val="auto"/>
                <w:sz w:val="21"/>
                <w:szCs w:val="21"/>
                <w:highlight w:val="none"/>
              </w:rPr>
            </w:pPr>
          </w:p>
        </w:tc>
        <w:tc>
          <w:tcPr>
            <w:tcW w:w="1696" w:type="dxa"/>
            <w:vAlign w:val="top"/>
          </w:tcPr>
          <w:p w14:paraId="2D241B07">
            <w:pPr>
              <w:rPr>
                <w:rFonts w:hint="eastAsia" w:ascii="宋体" w:hAnsi="宋体" w:eastAsia="宋体" w:cs="宋体"/>
                <w:b w:val="0"/>
                <w:bCs w:val="0"/>
                <w:color w:val="auto"/>
                <w:sz w:val="21"/>
                <w:szCs w:val="21"/>
                <w:highlight w:val="none"/>
              </w:rPr>
            </w:pPr>
          </w:p>
        </w:tc>
        <w:tc>
          <w:tcPr>
            <w:tcW w:w="1780" w:type="dxa"/>
            <w:vAlign w:val="top"/>
          </w:tcPr>
          <w:p w14:paraId="2F2105F3">
            <w:pPr>
              <w:rPr>
                <w:rFonts w:hint="eastAsia" w:ascii="宋体" w:hAnsi="宋体" w:eastAsia="宋体" w:cs="宋体"/>
                <w:b w:val="0"/>
                <w:bCs w:val="0"/>
                <w:color w:val="auto"/>
                <w:sz w:val="21"/>
                <w:szCs w:val="21"/>
                <w:highlight w:val="none"/>
              </w:rPr>
            </w:pPr>
          </w:p>
        </w:tc>
      </w:tr>
      <w:tr w14:paraId="7D5B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694" w:type="dxa"/>
            <w:vAlign w:val="top"/>
          </w:tcPr>
          <w:p w14:paraId="415F9373">
            <w:pPr>
              <w:rPr>
                <w:rFonts w:hint="eastAsia" w:ascii="宋体" w:hAnsi="宋体" w:eastAsia="宋体" w:cs="宋体"/>
                <w:b w:val="0"/>
                <w:bCs w:val="0"/>
                <w:color w:val="auto"/>
                <w:sz w:val="21"/>
                <w:szCs w:val="21"/>
                <w:highlight w:val="none"/>
              </w:rPr>
            </w:pPr>
          </w:p>
        </w:tc>
        <w:tc>
          <w:tcPr>
            <w:tcW w:w="1230" w:type="dxa"/>
            <w:vAlign w:val="top"/>
          </w:tcPr>
          <w:p w14:paraId="194788AC">
            <w:pPr>
              <w:rPr>
                <w:rFonts w:hint="eastAsia" w:ascii="宋体" w:hAnsi="宋体" w:eastAsia="宋体" w:cs="宋体"/>
                <w:b w:val="0"/>
                <w:bCs w:val="0"/>
                <w:color w:val="auto"/>
                <w:sz w:val="21"/>
                <w:szCs w:val="21"/>
                <w:highlight w:val="none"/>
              </w:rPr>
            </w:pPr>
          </w:p>
        </w:tc>
        <w:tc>
          <w:tcPr>
            <w:tcW w:w="1255" w:type="dxa"/>
            <w:vAlign w:val="top"/>
          </w:tcPr>
          <w:p w14:paraId="6D57B589">
            <w:pPr>
              <w:rPr>
                <w:rFonts w:hint="eastAsia" w:ascii="宋体" w:hAnsi="宋体" w:eastAsia="宋体" w:cs="宋体"/>
                <w:b w:val="0"/>
                <w:bCs w:val="0"/>
                <w:color w:val="auto"/>
                <w:sz w:val="21"/>
                <w:szCs w:val="21"/>
                <w:highlight w:val="none"/>
              </w:rPr>
            </w:pPr>
          </w:p>
        </w:tc>
        <w:tc>
          <w:tcPr>
            <w:tcW w:w="2163" w:type="dxa"/>
            <w:vAlign w:val="top"/>
          </w:tcPr>
          <w:p w14:paraId="204EF090">
            <w:pPr>
              <w:rPr>
                <w:rFonts w:hint="eastAsia" w:ascii="宋体" w:hAnsi="宋体" w:eastAsia="宋体" w:cs="宋体"/>
                <w:b w:val="0"/>
                <w:bCs w:val="0"/>
                <w:color w:val="auto"/>
                <w:sz w:val="21"/>
                <w:szCs w:val="21"/>
                <w:highlight w:val="none"/>
              </w:rPr>
            </w:pPr>
          </w:p>
        </w:tc>
        <w:tc>
          <w:tcPr>
            <w:tcW w:w="1696" w:type="dxa"/>
            <w:vAlign w:val="top"/>
          </w:tcPr>
          <w:p w14:paraId="2E7298FA">
            <w:pPr>
              <w:rPr>
                <w:rFonts w:hint="eastAsia" w:ascii="宋体" w:hAnsi="宋体" w:eastAsia="宋体" w:cs="宋体"/>
                <w:b w:val="0"/>
                <w:bCs w:val="0"/>
                <w:color w:val="auto"/>
                <w:sz w:val="21"/>
                <w:szCs w:val="21"/>
                <w:highlight w:val="none"/>
              </w:rPr>
            </w:pPr>
          </w:p>
        </w:tc>
        <w:tc>
          <w:tcPr>
            <w:tcW w:w="1780" w:type="dxa"/>
            <w:vAlign w:val="top"/>
          </w:tcPr>
          <w:p w14:paraId="2524EA83">
            <w:pPr>
              <w:rPr>
                <w:rFonts w:hint="eastAsia" w:ascii="宋体" w:hAnsi="宋体" w:eastAsia="宋体" w:cs="宋体"/>
                <w:b w:val="0"/>
                <w:bCs w:val="0"/>
                <w:color w:val="auto"/>
                <w:sz w:val="21"/>
                <w:szCs w:val="21"/>
                <w:highlight w:val="none"/>
              </w:rPr>
            </w:pPr>
          </w:p>
        </w:tc>
      </w:tr>
    </w:tbl>
    <w:p w14:paraId="4DA07EB4">
      <w:pPr>
        <w:numPr>
          <w:ilvl w:val="0"/>
          <w:numId w:val="0"/>
        </w:numPr>
        <w:jc w:val="left"/>
        <w:rPr>
          <w:rFonts w:hint="eastAsia" w:ascii="宋体" w:hAnsi="宋体" w:eastAsia="宋体" w:cs="宋体"/>
          <w:color w:val="auto"/>
          <w:sz w:val="21"/>
          <w:szCs w:val="21"/>
          <w:highlight w:val="none"/>
          <w:lang w:val="en-US" w:eastAsia="zh-CN"/>
        </w:rPr>
      </w:pPr>
    </w:p>
    <w:p w14:paraId="7578A237">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7" w:right="748" w:hanging="6"/>
        <w:textAlignment w:val="baseline"/>
        <w:rPr>
          <w:rFonts w:hint="eastAsia" w:ascii="宋体" w:hAnsi="宋体" w:eastAsia="宋体" w:cs="宋体"/>
          <w:b w:val="0"/>
          <w:bCs w:val="0"/>
          <w:color w:val="auto"/>
          <w:spacing w:val="17"/>
          <w:sz w:val="21"/>
          <w:szCs w:val="21"/>
          <w:highlight w:val="none"/>
        </w:rPr>
      </w:pPr>
      <w:r>
        <w:rPr>
          <w:rFonts w:hint="eastAsia" w:ascii="宋体" w:hAnsi="宋体" w:eastAsia="宋体" w:cs="宋体"/>
          <w:b w:val="0"/>
          <w:bCs w:val="0"/>
          <w:color w:val="auto"/>
          <w:spacing w:val="-6"/>
          <w:sz w:val="21"/>
          <w:szCs w:val="21"/>
          <w:highlight w:val="none"/>
          <w:lang w:val="en-US" w:eastAsia="zh-CN"/>
        </w:rPr>
        <w:t>投标</w:t>
      </w:r>
      <w:r>
        <w:rPr>
          <w:rFonts w:hint="eastAsia" w:ascii="宋体" w:hAnsi="宋体" w:eastAsia="宋体" w:cs="宋体"/>
          <w:b w:val="0"/>
          <w:bCs w:val="0"/>
          <w:color w:val="auto"/>
          <w:spacing w:val="-6"/>
          <w:sz w:val="21"/>
          <w:szCs w:val="21"/>
          <w:highlight w:val="none"/>
        </w:rPr>
        <w:t>人</w:t>
      </w:r>
      <w:r>
        <w:rPr>
          <w:rFonts w:hint="eastAsia" w:ascii="宋体" w:hAnsi="宋体" w:eastAsia="宋体" w:cs="宋体"/>
          <w:b w:val="0"/>
          <w:bCs w:val="0"/>
          <w:color w:val="auto"/>
          <w:spacing w:val="-70"/>
          <w:sz w:val="21"/>
          <w:szCs w:val="21"/>
          <w:highlight w:val="none"/>
          <w:u w:val="none" w:color="auto"/>
        </w:rPr>
        <w:t>：</w:t>
      </w:r>
      <w:r>
        <w:rPr>
          <w:rFonts w:hint="eastAsia" w:ascii="宋体" w:hAnsi="宋体" w:eastAsia="宋体" w:cs="宋体"/>
          <w:b w:val="0"/>
          <w:bCs w:val="0"/>
          <w:color w:val="auto"/>
          <w:spacing w:val="-117"/>
          <w:sz w:val="21"/>
          <w:szCs w:val="21"/>
          <w:highlight w:val="none"/>
          <w:u w:val="none" w:color="auto"/>
        </w:rPr>
        <w:t xml:space="preserve"> </w:t>
      </w:r>
      <w:r>
        <w:rPr>
          <w:rFonts w:hint="eastAsia" w:ascii="宋体" w:hAnsi="宋体" w:eastAsia="宋体" w:cs="宋体"/>
          <w:b w:val="0"/>
          <w:bCs w:val="0"/>
          <w:color w:val="auto"/>
          <w:sz w:val="21"/>
          <w:szCs w:val="21"/>
          <w:highlight w:val="none"/>
          <w:u w:val="none" w:color="auto"/>
        </w:rPr>
        <w:t xml:space="preserve"> </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6"/>
          <w:sz w:val="21"/>
          <w:szCs w:val="21"/>
          <w:highlight w:val="none"/>
        </w:rPr>
        <w:t>（</w:t>
      </w:r>
      <w:r>
        <w:rPr>
          <w:rFonts w:hint="eastAsia" w:cs="宋体"/>
          <w:b w:val="0"/>
          <w:bCs w:val="0"/>
          <w:color w:val="auto"/>
          <w:spacing w:val="-6"/>
          <w:sz w:val="21"/>
          <w:szCs w:val="21"/>
          <w:highlight w:val="none"/>
          <w:lang w:val="en-US" w:eastAsia="zh-CN"/>
        </w:rPr>
        <w:t>盖</w:t>
      </w:r>
      <w:r>
        <w:rPr>
          <w:rFonts w:hint="eastAsia" w:ascii="宋体" w:hAnsi="宋体" w:eastAsia="宋体" w:cs="宋体"/>
          <w:b w:val="0"/>
          <w:bCs w:val="0"/>
          <w:color w:val="auto"/>
          <w:spacing w:val="-6"/>
          <w:sz w:val="21"/>
          <w:szCs w:val="21"/>
          <w:highlight w:val="none"/>
        </w:rPr>
        <w:t>单位盖章</w:t>
      </w:r>
      <w:r>
        <w:rPr>
          <w:rFonts w:hint="eastAsia" w:ascii="宋体" w:hAnsi="宋体" w:eastAsia="宋体" w:cs="宋体"/>
          <w:b w:val="0"/>
          <w:bCs w:val="0"/>
          <w:color w:val="auto"/>
          <w:spacing w:val="-70"/>
          <w:sz w:val="21"/>
          <w:szCs w:val="21"/>
          <w:highlight w:val="none"/>
        </w:rPr>
        <w:t>）</w:t>
      </w:r>
    </w:p>
    <w:p w14:paraId="3F6C81E4">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7" w:right="748" w:hanging="6"/>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2"/>
          <w:sz w:val="21"/>
          <w:szCs w:val="21"/>
          <w:highlight w:val="none"/>
        </w:rPr>
        <w:t>授权代表（签字</w:t>
      </w:r>
      <w:r>
        <w:rPr>
          <w:rFonts w:hint="eastAsia" w:ascii="宋体" w:hAnsi="宋体" w:eastAsia="宋体" w:cs="宋体"/>
          <w:b w:val="0"/>
          <w:bCs w:val="0"/>
          <w:color w:val="auto"/>
          <w:spacing w:val="-13"/>
          <w:sz w:val="21"/>
          <w:szCs w:val="21"/>
          <w:highlight w:val="none"/>
        </w:rPr>
        <w:t>）：</w:t>
      </w:r>
      <w:r>
        <w:rPr>
          <w:rFonts w:hint="eastAsia" w:ascii="宋体" w:hAnsi="宋体" w:eastAsia="宋体" w:cs="宋体"/>
          <w:b w:val="0"/>
          <w:bCs w:val="0"/>
          <w:color w:val="auto"/>
          <w:spacing w:val="-117"/>
          <w:sz w:val="21"/>
          <w:szCs w:val="21"/>
          <w:highlight w:val="none"/>
        </w:rPr>
        <w:t xml:space="preserve"> </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z w:val="21"/>
          <w:szCs w:val="21"/>
          <w:highlight w:val="none"/>
          <w:u w:val="single" w:color="auto"/>
          <w:lang w:val="en-US" w:eastAsia="zh-CN"/>
        </w:rPr>
        <w:t xml:space="preserve">         </w:t>
      </w:r>
      <w:r>
        <w:rPr>
          <w:rFonts w:hint="eastAsia" w:ascii="宋体" w:hAnsi="宋体" w:eastAsia="宋体" w:cs="宋体"/>
          <w:b w:val="0"/>
          <w:bCs w:val="0"/>
          <w:color w:val="auto"/>
          <w:sz w:val="21"/>
          <w:szCs w:val="21"/>
          <w:highlight w:val="none"/>
          <w:u w:val="single" w:color="auto"/>
        </w:rPr>
        <w:t xml:space="preserve">       </w:t>
      </w:r>
    </w:p>
    <w:p w14:paraId="2F612C65">
      <w:pPr>
        <w:numPr>
          <w:ilvl w:val="0"/>
          <w:numId w:val="0"/>
        </w:numPr>
        <w:autoSpaceDE w:val="0"/>
        <w:autoSpaceDN w:val="0"/>
        <w:adjustRightInd w:val="0"/>
        <w:spacing w:line="620" w:lineRule="exact"/>
        <w:ind w:right="50" w:rightChars="0"/>
        <w:jc w:val="both"/>
        <w:outlineLvl w:val="9"/>
        <w:rPr>
          <w:rFonts w:hint="default"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注：依据本招标文件“产品需求”的“技术参数及要求”</w:t>
      </w:r>
      <w:r>
        <w:rPr>
          <w:rFonts w:hint="eastAsia" w:cs="宋体"/>
          <w:b w:val="0"/>
          <w:bCs w:val="0"/>
          <w:color w:val="auto"/>
          <w:spacing w:val="-3"/>
          <w:sz w:val="21"/>
          <w:szCs w:val="21"/>
          <w:highlight w:val="none"/>
          <w:lang w:val="en-US" w:eastAsia="zh-CN"/>
        </w:rPr>
        <w:t>，填写技术参数响应（偏离）表。</w:t>
      </w:r>
    </w:p>
    <w:p w14:paraId="0DC0FE86">
      <w:pPr>
        <w:rPr>
          <w:rFonts w:hint="eastAsia" w:ascii="宋体" w:hAnsi="宋体" w:eastAsia="宋体" w:cs="宋体"/>
          <w:color w:val="auto"/>
          <w:sz w:val="21"/>
          <w:szCs w:val="21"/>
          <w:highlight w:val="none"/>
          <w:lang w:val="en-US" w:eastAsia="zh-CN"/>
        </w:rPr>
      </w:pPr>
    </w:p>
    <w:p w14:paraId="4B0BB7D9">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88" w:name="_Toc18538"/>
      <w:bookmarkStart w:id="89" w:name="_Toc19492"/>
      <w:bookmarkStart w:id="90" w:name="_Toc29282"/>
      <w:bookmarkStart w:id="91" w:name="_Toc6148"/>
      <w:bookmarkStart w:id="92" w:name="_Toc5398"/>
      <w:r>
        <w:rPr>
          <w:rFonts w:hint="eastAsia" w:ascii="宋体" w:hAnsi="宋体" w:eastAsia="宋体" w:cs="宋体"/>
          <w:b/>
          <w:bCs/>
          <w:color w:val="auto"/>
          <w:sz w:val="21"/>
          <w:szCs w:val="21"/>
          <w:highlight w:val="none"/>
          <w:lang w:val="en-US" w:eastAsia="zh-CN"/>
        </w:rPr>
        <w:t>十、评审指标对应</w:t>
      </w:r>
      <w:r>
        <w:rPr>
          <w:rFonts w:hint="eastAsia" w:cs="宋体"/>
          <w:b/>
          <w:bCs/>
          <w:color w:val="auto"/>
          <w:sz w:val="21"/>
          <w:szCs w:val="21"/>
          <w:highlight w:val="none"/>
          <w:lang w:val="en-US" w:eastAsia="zh-CN"/>
        </w:rPr>
        <w:t>材料</w:t>
      </w:r>
      <w:bookmarkEnd w:id="88"/>
      <w:bookmarkEnd w:id="89"/>
      <w:bookmarkEnd w:id="90"/>
      <w:bookmarkEnd w:id="91"/>
      <w:bookmarkEnd w:id="92"/>
    </w:p>
    <w:p w14:paraId="6F7C1F4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1.营业执照</w:t>
      </w:r>
    </w:p>
    <w:p w14:paraId="1935FA08">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业绩案例</w:t>
      </w:r>
    </w:p>
    <w:p w14:paraId="5F974B65">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.企业实力</w:t>
      </w:r>
    </w:p>
    <w:p w14:paraId="0DBA3A2D">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.技术参数响应情况</w:t>
      </w:r>
    </w:p>
    <w:p w14:paraId="057A1DE5">
      <w:pPr>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（1）标</w:t>
      </w:r>
      <w:r>
        <w:rPr>
          <w:rFonts w:hint="eastAsia"/>
          <w:color w:val="auto"/>
          <w:highlight w:val="none"/>
        </w:rPr>
        <w:t>★</w:t>
      </w:r>
      <w:r>
        <w:rPr>
          <w:rFonts w:hint="eastAsia"/>
          <w:color w:val="auto"/>
          <w:highlight w:val="none"/>
          <w:lang w:val="en-US" w:eastAsia="zh-CN"/>
        </w:rPr>
        <w:t>项参数证明材料</w:t>
      </w:r>
    </w:p>
    <w:p w14:paraId="5977E0F8">
      <w:pPr>
        <w:rPr>
          <w:rFonts w:hint="default"/>
          <w:color w:val="auto"/>
          <w:highlight w:val="none"/>
          <w:lang w:val="en-US" w:eastAsia="zh-CN"/>
        </w:rPr>
      </w:pPr>
      <w:r>
        <w:rPr>
          <w:rFonts w:hint="eastAsia"/>
          <w:color w:val="auto"/>
          <w:highlight w:val="none"/>
          <w:lang w:val="en-US" w:eastAsia="zh-CN"/>
        </w:rPr>
        <w:t>（2）非</w:t>
      </w:r>
      <w:r>
        <w:rPr>
          <w:rFonts w:hint="eastAsia" w:ascii="宋体" w:hAnsi="宋体" w:eastAsia="宋体" w:cs="宋体"/>
          <w:color w:val="auto"/>
          <w:sz w:val="21"/>
          <w:szCs w:val="21"/>
          <w:highlight w:val="none"/>
          <w:lang w:val="en-US" w:eastAsia="zh-CN"/>
        </w:rPr>
        <w:t>标</w:t>
      </w:r>
      <w:r>
        <w:rPr>
          <w:rFonts w:hint="eastAsia"/>
          <w:color w:val="auto"/>
          <w:highlight w:val="none"/>
        </w:rPr>
        <w:t>★</w:t>
      </w:r>
      <w:r>
        <w:rPr>
          <w:rFonts w:hint="eastAsia"/>
          <w:color w:val="auto"/>
          <w:highlight w:val="none"/>
          <w:lang w:val="en-US" w:eastAsia="zh-CN"/>
        </w:rPr>
        <w:t>项参数证明材料</w:t>
      </w:r>
    </w:p>
    <w:p w14:paraId="0E45389E">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.市场占有率</w:t>
      </w:r>
    </w:p>
    <w:p w14:paraId="6C95D66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6.服务方案</w:t>
      </w:r>
    </w:p>
    <w:p w14:paraId="0990D22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7.售后能力</w:t>
      </w:r>
    </w:p>
    <w:p w14:paraId="0F9CF808">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.原</w:t>
      </w:r>
      <w:r>
        <w:rPr>
          <w:rFonts w:hint="eastAsia" w:cs="宋体"/>
          <w:color w:val="auto"/>
          <w:sz w:val="21"/>
          <w:szCs w:val="21"/>
          <w:highlight w:val="none"/>
          <w:lang w:val="en-US" w:eastAsia="zh-CN"/>
        </w:rPr>
        <w:t>厂商</w:t>
      </w:r>
      <w:r>
        <w:rPr>
          <w:rFonts w:hint="eastAsia" w:ascii="宋体" w:hAnsi="宋体" w:eastAsia="宋体" w:cs="宋体"/>
          <w:color w:val="auto"/>
          <w:sz w:val="21"/>
          <w:szCs w:val="21"/>
          <w:highlight w:val="none"/>
          <w:lang w:val="en-US" w:eastAsia="zh-CN"/>
        </w:rPr>
        <w:t>授权书</w:t>
      </w:r>
    </w:p>
    <w:p w14:paraId="4B5ABD47">
      <w:pP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.原</w:t>
      </w:r>
      <w:r>
        <w:rPr>
          <w:rFonts w:hint="eastAsia" w:cs="宋体"/>
          <w:color w:val="auto"/>
          <w:sz w:val="21"/>
          <w:szCs w:val="21"/>
          <w:highlight w:val="none"/>
          <w:lang w:val="en-US" w:eastAsia="zh-CN"/>
        </w:rPr>
        <w:t>厂商</w:t>
      </w:r>
      <w:r>
        <w:rPr>
          <w:rFonts w:hint="eastAsia" w:ascii="宋体" w:hAnsi="宋体" w:eastAsia="宋体" w:cs="宋体"/>
          <w:color w:val="auto"/>
          <w:sz w:val="21"/>
          <w:szCs w:val="21"/>
          <w:highlight w:val="none"/>
          <w:lang w:val="en-US" w:eastAsia="zh-CN"/>
        </w:rPr>
        <w:t>售后服务承诺函</w:t>
      </w:r>
    </w:p>
    <w:p w14:paraId="1EF2C8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w:t>
      </w:r>
      <w:r>
        <w:rPr>
          <w:rFonts w:hint="eastAsia" w:cs="宋体"/>
          <w:color w:val="auto"/>
          <w:sz w:val="21"/>
          <w:szCs w:val="21"/>
          <w:highlight w:val="none"/>
          <w:lang w:val="en-US" w:eastAsia="zh-CN"/>
        </w:rPr>
        <w:t>除需要原厂商提供的证明材料加盖原厂商公章外，还</w:t>
      </w:r>
      <w:r>
        <w:rPr>
          <w:rFonts w:hint="eastAsia" w:ascii="宋体" w:hAnsi="宋体" w:eastAsia="宋体" w:cs="宋体"/>
          <w:color w:val="auto"/>
          <w:sz w:val="21"/>
          <w:szCs w:val="21"/>
          <w:highlight w:val="none"/>
          <w:lang w:val="en-US" w:eastAsia="zh-CN"/>
        </w:rPr>
        <w:t>需要加盖投标人单位公章，</w:t>
      </w:r>
      <w:r>
        <w:rPr>
          <w:rFonts w:hint="eastAsia"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建立索引表。</w:t>
      </w:r>
    </w:p>
    <w:p w14:paraId="14065243">
      <w:pPr>
        <w:pStyle w:val="19"/>
        <w:ind w:left="0" w:leftChars="0" w:firstLine="0" w:firstLineChars="0"/>
        <w:rPr>
          <w:rFonts w:hint="eastAsia"/>
          <w:color w:val="auto"/>
          <w:highlight w:val="none"/>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245"/>
        <w:gridCol w:w="1942"/>
      </w:tblGrid>
      <w:tr w14:paraId="1692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46" w:type="dxa"/>
            <w:gridSpan w:val="3"/>
            <w:noWrap w:val="0"/>
            <w:vAlign w:val="center"/>
          </w:tcPr>
          <w:p w14:paraId="3F6ACA95">
            <w:pPr>
              <w:keepNext w:val="0"/>
              <w:keepLines w:val="0"/>
              <w:widowControl/>
              <w:suppressLineNumbers w:val="0"/>
              <w:adjustRightInd w:val="0"/>
              <w:snapToGrid w:val="0"/>
              <w:spacing w:before="0" w:beforeAutospacing="0" w:after="0" w:afterAutospacing="0" w:line="420" w:lineRule="exact"/>
              <w:ind w:left="0" w:right="0"/>
              <w:jc w:val="center"/>
              <w:rPr>
                <w:rFonts w:hint="default" w:ascii="宋体" w:hAnsi="宋体" w:eastAsia="宋体" w:cs="宋体"/>
                <w:b/>
                <w:color w:val="auto"/>
                <w:kern w:val="0"/>
                <w:sz w:val="21"/>
                <w:szCs w:val="21"/>
                <w:highlight w:val="none"/>
                <w:lang w:val="en-US" w:eastAsia="zh-CN"/>
              </w:rPr>
            </w:pPr>
            <w:r>
              <w:rPr>
                <w:rFonts w:hint="eastAsia" w:cs="宋体"/>
                <w:b/>
                <w:bCs w:val="0"/>
                <w:i w:val="0"/>
                <w:iCs w:val="0"/>
                <w:color w:val="auto"/>
                <w:sz w:val="21"/>
                <w:szCs w:val="21"/>
                <w:highlight w:val="none"/>
                <w:lang w:val="en-US" w:eastAsia="zh-CN"/>
              </w:rPr>
              <w:t>索引表</w:t>
            </w:r>
          </w:p>
        </w:tc>
      </w:tr>
      <w:tr w14:paraId="1533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9" w:type="dxa"/>
            <w:noWrap w:val="0"/>
            <w:vAlign w:val="center"/>
          </w:tcPr>
          <w:p w14:paraId="006E27CF">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序号</w:t>
            </w:r>
          </w:p>
        </w:tc>
        <w:tc>
          <w:tcPr>
            <w:tcW w:w="3245" w:type="dxa"/>
            <w:noWrap w:val="0"/>
            <w:vAlign w:val="center"/>
          </w:tcPr>
          <w:p w14:paraId="38A42657">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评分因素</w:t>
            </w:r>
          </w:p>
        </w:tc>
        <w:tc>
          <w:tcPr>
            <w:tcW w:w="1942" w:type="dxa"/>
            <w:noWrap w:val="0"/>
            <w:vAlign w:val="center"/>
          </w:tcPr>
          <w:p w14:paraId="2752E095">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bCs w:val="0"/>
                <w:i w:val="0"/>
                <w:iCs w:val="0"/>
                <w:color w:val="auto"/>
                <w:sz w:val="21"/>
                <w:szCs w:val="21"/>
                <w:highlight w:val="none"/>
                <w:lang w:val="en-US" w:eastAsia="zh-CN"/>
              </w:rPr>
            </w:pPr>
            <w:r>
              <w:rPr>
                <w:rFonts w:hint="eastAsia" w:cs="宋体"/>
                <w:b/>
                <w:bCs w:val="0"/>
                <w:i w:val="0"/>
                <w:iCs w:val="0"/>
                <w:color w:val="auto"/>
                <w:sz w:val="21"/>
                <w:szCs w:val="21"/>
                <w:highlight w:val="none"/>
                <w:lang w:val="en-US" w:eastAsia="zh-CN"/>
              </w:rPr>
              <w:t>页码范围</w:t>
            </w:r>
          </w:p>
        </w:tc>
      </w:tr>
      <w:tr w14:paraId="09C5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1279EAAF">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1</w:t>
            </w:r>
          </w:p>
        </w:tc>
        <w:tc>
          <w:tcPr>
            <w:tcW w:w="3245" w:type="dxa"/>
            <w:noWrap w:val="0"/>
            <w:vAlign w:val="center"/>
          </w:tcPr>
          <w:p w14:paraId="3C92498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业绩案例</w:t>
            </w:r>
          </w:p>
        </w:tc>
        <w:tc>
          <w:tcPr>
            <w:tcW w:w="1942" w:type="dxa"/>
            <w:noWrap w:val="0"/>
            <w:vAlign w:val="center"/>
          </w:tcPr>
          <w:p w14:paraId="4F4CB6A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4E9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16C5B4E3">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2</w:t>
            </w:r>
          </w:p>
        </w:tc>
        <w:tc>
          <w:tcPr>
            <w:tcW w:w="3245" w:type="dxa"/>
            <w:noWrap w:val="0"/>
            <w:vAlign w:val="center"/>
          </w:tcPr>
          <w:p w14:paraId="381C0B91">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企业实力</w:t>
            </w:r>
          </w:p>
        </w:tc>
        <w:tc>
          <w:tcPr>
            <w:tcW w:w="1942" w:type="dxa"/>
            <w:noWrap w:val="0"/>
            <w:vAlign w:val="center"/>
          </w:tcPr>
          <w:p w14:paraId="24B6295A">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258A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9" w:type="dxa"/>
            <w:noWrap w:val="0"/>
            <w:vAlign w:val="center"/>
          </w:tcPr>
          <w:p w14:paraId="403AC881">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3</w:t>
            </w:r>
          </w:p>
        </w:tc>
        <w:tc>
          <w:tcPr>
            <w:tcW w:w="3245" w:type="dxa"/>
            <w:noWrap w:val="0"/>
            <w:vAlign w:val="center"/>
          </w:tcPr>
          <w:p w14:paraId="4D64B61E">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技术参数响应情况</w:t>
            </w:r>
          </w:p>
        </w:tc>
        <w:tc>
          <w:tcPr>
            <w:tcW w:w="1942" w:type="dxa"/>
            <w:noWrap w:val="0"/>
            <w:vAlign w:val="center"/>
          </w:tcPr>
          <w:p w14:paraId="336027FE">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201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9" w:type="dxa"/>
            <w:noWrap w:val="0"/>
            <w:vAlign w:val="center"/>
          </w:tcPr>
          <w:p w14:paraId="345F69C8">
            <w:pPr>
              <w:keepNext w:val="0"/>
              <w:keepLines w:val="0"/>
              <w:widowControl/>
              <w:suppressLineNumbers w:val="0"/>
              <w:adjustRightInd w:val="0"/>
              <w:snapToGrid w:val="0"/>
              <w:spacing w:before="0" w:beforeAutospacing="0" w:after="0" w:afterAutospacing="0" w:line="420" w:lineRule="exact"/>
              <w:ind w:left="0" w:leftChars="0" w:right="0" w:rightChars="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4</w:t>
            </w:r>
          </w:p>
        </w:tc>
        <w:tc>
          <w:tcPr>
            <w:tcW w:w="3245" w:type="dxa"/>
            <w:noWrap w:val="0"/>
            <w:vAlign w:val="center"/>
          </w:tcPr>
          <w:p w14:paraId="2F85997E">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市场占有率</w:t>
            </w:r>
          </w:p>
        </w:tc>
        <w:tc>
          <w:tcPr>
            <w:tcW w:w="1942" w:type="dxa"/>
            <w:noWrap w:val="0"/>
            <w:vAlign w:val="center"/>
          </w:tcPr>
          <w:p w14:paraId="4AA9E9AF">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253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9" w:type="dxa"/>
            <w:noWrap w:val="0"/>
            <w:vAlign w:val="center"/>
          </w:tcPr>
          <w:p w14:paraId="7CCBE432">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5</w:t>
            </w:r>
          </w:p>
        </w:tc>
        <w:tc>
          <w:tcPr>
            <w:tcW w:w="3245" w:type="dxa"/>
            <w:noWrap w:val="0"/>
            <w:vAlign w:val="center"/>
          </w:tcPr>
          <w:p w14:paraId="33372F54">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w:t>
            </w:r>
          </w:p>
        </w:tc>
        <w:tc>
          <w:tcPr>
            <w:tcW w:w="1942" w:type="dxa"/>
            <w:noWrap w:val="0"/>
            <w:vAlign w:val="center"/>
          </w:tcPr>
          <w:p w14:paraId="4C503474">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r w14:paraId="653E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9" w:type="dxa"/>
            <w:noWrap w:val="0"/>
            <w:vAlign w:val="center"/>
          </w:tcPr>
          <w:p w14:paraId="39314336">
            <w:pPr>
              <w:keepNext w:val="0"/>
              <w:keepLines w:val="0"/>
              <w:widowControl/>
              <w:suppressLineNumbers w:val="0"/>
              <w:adjustRightInd w:val="0"/>
              <w:snapToGrid w:val="0"/>
              <w:spacing w:before="0" w:beforeAutospacing="0" w:after="0" w:afterAutospacing="0" w:line="420" w:lineRule="exact"/>
              <w:ind w:left="0" w:right="0"/>
              <w:jc w:val="center"/>
              <w:rPr>
                <w:rFonts w:hint="default"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6</w:t>
            </w:r>
          </w:p>
        </w:tc>
        <w:tc>
          <w:tcPr>
            <w:tcW w:w="3245" w:type="dxa"/>
            <w:noWrap w:val="0"/>
            <w:vAlign w:val="center"/>
          </w:tcPr>
          <w:p w14:paraId="5BF37178">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r>
              <w:rPr>
                <w:rFonts w:hint="eastAsia" w:cs="宋体"/>
                <w:b w:val="0"/>
                <w:bCs/>
                <w:i w:val="0"/>
                <w:iCs w:val="0"/>
                <w:color w:val="auto"/>
                <w:sz w:val="21"/>
                <w:szCs w:val="21"/>
                <w:highlight w:val="none"/>
                <w:lang w:val="en-US" w:eastAsia="zh-CN"/>
              </w:rPr>
              <w:t>售后能力</w:t>
            </w:r>
          </w:p>
        </w:tc>
        <w:tc>
          <w:tcPr>
            <w:tcW w:w="1942" w:type="dxa"/>
            <w:noWrap w:val="0"/>
            <w:vAlign w:val="center"/>
          </w:tcPr>
          <w:p w14:paraId="433A5C6D">
            <w:pPr>
              <w:keepNext w:val="0"/>
              <w:keepLines w:val="0"/>
              <w:widowControl/>
              <w:suppressLineNumbers w:val="0"/>
              <w:adjustRightInd w:val="0"/>
              <w:snapToGrid w:val="0"/>
              <w:spacing w:before="0" w:beforeAutospacing="0" w:after="0" w:afterAutospacing="0" w:line="420" w:lineRule="exact"/>
              <w:ind w:left="0" w:right="0"/>
              <w:jc w:val="center"/>
              <w:rPr>
                <w:rFonts w:hint="eastAsia" w:cs="宋体"/>
                <w:b w:val="0"/>
                <w:bCs/>
                <w:i w:val="0"/>
                <w:iCs w:val="0"/>
                <w:color w:val="auto"/>
                <w:sz w:val="21"/>
                <w:szCs w:val="21"/>
                <w:highlight w:val="none"/>
                <w:lang w:val="en-US" w:eastAsia="zh-CN"/>
              </w:rPr>
            </w:pPr>
          </w:p>
        </w:tc>
      </w:tr>
    </w:tbl>
    <w:p w14:paraId="3FEE64F6">
      <w:pPr>
        <w:pageBreakBefore/>
        <w:spacing w:after="0" w:line="360" w:lineRule="auto"/>
        <w:jc w:val="center"/>
        <w:outlineLvl w:val="2"/>
        <w:rPr>
          <w:rFonts w:hint="eastAsia" w:ascii="宋体" w:hAnsi="宋体" w:eastAsia="宋体" w:cs="宋体"/>
          <w:b/>
          <w:bCs/>
          <w:color w:val="auto"/>
          <w:sz w:val="21"/>
          <w:szCs w:val="21"/>
          <w:highlight w:val="none"/>
          <w:lang w:val="en-US" w:eastAsia="zh-CN"/>
        </w:rPr>
      </w:pPr>
      <w:bookmarkStart w:id="93" w:name="_Toc15376"/>
      <w:bookmarkStart w:id="94" w:name="_Toc10727"/>
      <w:bookmarkStart w:id="95" w:name="_Toc21129"/>
      <w:bookmarkStart w:id="96" w:name="_Toc24593"/>
      <w:bookmarkStart w:id="97" w:name="_Toc14771"/>
      <w:r>
        <w:rPr>
          <w:rFonts w:hint="eastAsia"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val="en-US" w:eastAsia="zh-CN"/>
        </w:rPr>
        <w:t>投标人认为需要提供的其他</w:t>
      </w:r>
      <w:r>
        <w:rPr>
          <w:rFonts w:hint="eastAsia" w:cs="宋体"/>
          <w:b/>
          <w:bCs/>
          <w:color w:val="auto"/>
          <w:sz w:val="21"/>
          <w:szCs w:val="21"/>
          <w:highlight w:val="none"/>
          <w:lang w:val="en-US" w:eastAsia="zh-CN"/>
        </w:rPr>
        <w:t>补充</w:t>
      </w:r>
      <w:r>
        <w:rPr>
          <w:rFonts w:hint="eastAsia" w:ascii="宋体" w:hAnsi="宋体" w:eastAsia="宋体" w:cs="宋体"/>
          <w:b/>
          <w:bCs/>
          <w:color w:val="auto"/>
          <w:sz w:val="21"/>
          <w:szCs w:val="21"/>
          <w:highlight w:val="none"/>
          <w:lang w:val="en-US" w:eastAsia="zh-CN"/>
        </w:rPr>
        <w:t>资料</w:t>
      </w:r>
      <w:bookmarkEnd w:id="93"/>
      <w:bookmarkEnd w:id="94"/>
      <w:bookmarkEnd w:id="95"/>
      <w:bookmarkEnd w:id="96"/>
      <w:bookmarkEnd w:id="97"/>
    </w:p>
    <w:p w14:paraId="540FCD4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包括但不限于，投标人简介、技术实力等（投标人可自行制作格式）</w:t>
      </w:r>
    </w:p>
    <w:p w14:paraId="27EFD32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技术方案（投标人可自行制作格式）</w:t>
      </w:r>
    </w:p>
    <w:p w14:paraId="3B49245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技术方案内容应包括：投标人应针对本项目整体策划，详细描述售前、售后服务的具体实施方案。</w:t>
      </w:r>
    </w:p>
    <w:p w14:paraId="0B99247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（1）售前包括但不限于产品的设计说明、实施方案、安装调试、测试验证、安全加固等方案；</w:t>
      </w:r>
    </w:p>
    <w:p w14:paraId="0979971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（2）售后包括但不限于产品质保、故障维修、日常巡检、24小时保障</w:t>
      </w:r>
      <w:r>
        <w:rPr>
          <w:rFonts w:hint="eastAsia" w:cs="宋体"/>
          <w:color w:val="auto"/>
          <w:sz w:val="21"/>
          <w:szCs w:val="21"/>
          <w:highlight w:val="none"/>
          <w:lang w:val="en-US" w:eastAsia="zh-CN"/>
        </w:rPr>
        <w:t>、后期维保方案</w:t>
      </w:r>
      <w:r>
        <w:rPr>
          <w:rFonts w:hint="eastAsia" w:ascii="宋体" w:hAnsi="宋体" w:eastAsia="宋体" w:cs="宋体"/>
          <w:color w:val="auto"/>
          <w:sz w:val="21"/>
          <w:szCs w:val="21"/>
          <w:highlight w:val="none"/>
          <w:lang w:val="en-US" w:eastAsia="zh-CN"/>
        </w:rPr>
        <w:t>等售后服务；</w:t>
      </w:r>
    </w:p>
    <w:p w14:paraId="57A4D0DD">
      <w:pPr>
        <w:rPr>
          <w:color w:val="auto"/>
          <w:highlight w:val="none"/>
        </w:rPr>
      </w:pPr>
      <w:r>
        <w:rPr>
          <w:rFonts w:hint="eastAsia" w:ascii="宋体" w:hAnsi="宋体" w:eastAsia="宋体" w:cs="宋体"/>
          <w:color w:val="auto"/>
          <w:sz w:val="21"/>
          <w:szCs w:val="21"/>
          <w:highlight w:val="none"/>
          <w:lang w:val="en-US" w:eastAsia="zh-CN"/>
        </w:rPr>
        <w:t>（3）投标人认为应提供的其他方案。</w:t>
      </w:r>
    </w:p>
    <w:bookmarkEnd w:id="98"/>
    <w:sectPr>
      <w:footerReference r:id="rId5" w:type="default"/>
      <w:pgSz w:w="11900" w:h="16840"/>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roid Sans">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7E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6537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C6537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E8159"/>
    <w:multiLevelType w:val="singleLevel"/>
    <w:tmpl w:val="E94E8159"/>
    <w:lvl w:ilvl="0" w:tentative="0">
      <w:start w:val="1"/>
      <w:numFmt w:val="decimal"/>
      <w:suff w:val="space"/>
      <w:lvlText w:val="%1."/>
      <w:lvlJc w:val="left"/>
    </w:lvl>
  </w:abstractNum>
  <w:abstractNum w:abstractNumId="1">
    <w:nsid w:val="F158A8A2"/>
    <w:multiLevelType w:val="singleLevel"/>
    <w:tmpl w:val="F158A8A2"/>
    <w:lvl w:ilvl="0" w:tentative="0">
      <w:start w:val="1"/>
      <w:numFmt w:val="decimal"/>
      <w:suff w:val="space"/>
      <w:lvlText w:val="%1."/>
      <w:lvlJc w:val="left"/>
    </w:lvl>
  </w:abstractNum>
  <w:abstractNum w:abstractNumId="2">
    <w:nsid w:val="1177ADBA"/>
    <w:multiLevelType w:val="singleLevel"/>
    <w:tmpl w:val="1177ADBA"/>
    <w:lvl w:ilvl="0" w:tentative="0">
      <w:start w:val="1"/>
      <w:numFmt w:val="decimal"/>
      <w:suff w:val="space"/>
      <w:lvlText w:val="%1."/>
      <w:lvlJc w:val="left"/>
    </w:lvl>
  </w:abstractNum>
  <w:abstractNum w:abstractNumId="3">
    <w:nsid w:val="1E9E4A4F"/>
    <w:multiLevelType w:val="singleLevel"/>
    <w:tmpl w:val="1E9E4A4F"/>
    <w:lvl w:ilvl="0" w:tentative="0">
      <w:start w:val="1"/>
      <w:numFmt w:val="decimal"/>
      <w:suff w:val="space"/>
      <w:lvlText w:val="%1."/>
      <w:lvlJc w:val="left"/>
    </w:lvl>
  </w:abstractNum>
  <w:abstractNum w:abstractNumId="4">
    <w:nsid w:val="4BD103C2"/>
    <w:multiLevelType w:val="singleLevel"/>
    <w:tmpl w:val="4BD103C2"/>
    <w:lvl w:ilvl="0" w:tentative="0">
      <w:start w:val="1"/>
      <w:numFmt w:val="decimal"/>
      <w:suff w:val="space"/>
      <w:lvlText w:val="%1."/>
      <w:lvlJc w:val="left"/>
    </w:lvl>
  </w:abstractNum>
  <w:abstractNum w:abstractNumId="5">
    <w:nsid w:val="5C4353F1"/>
    <w:multiLevelType w:val="singleLevel"/>
    <w:tmpl w:val="5C4353F1"/>
    <w:lvl w:ilvl="0" w:tentative="0">
      <w:start w:val="1"/>
      <w:numFmt w:val="decimal"/>
      <w:suff w:val="space"/>
      <w:lvlText w:val="%1."/>
      <w:lvlJc w:val="left"/>
      <w:pPr>
        <w:ind w:left="845" w:hanging="425"/>
      </w:pPr>
      <w:rPr>
        <w:rFonts w:hint="default"/>
      </w:rPr>
    </w:lvl>
  </w:abstractNum>
  <w:abstractNum w:abstractNumId="6">
    <w:nsid w:val="6381EF2D"/>
    <w:multiLevelType w:val="singleLevel"/>
    <w:tmpl w:val="6381EF2D"/>
    <w:lvl w:ilvl="0" w:tentative="0">
      <w:start w:val="1"/>
      <w:numFmt w:val="decimal"/>
      <w:suff w:val="space"/>
      <w:lvlText w:val="%1."/>
      <w:lvlJc w:val="left"/>
    </w:lvl>
  </w:abstractNum>
  <w:abstractNum w:abstractNumId="7">
    <w:nsid w:val="74E79CEE"/>
    <w:multiLevelType w:val="singleLevel"/>
    <w:tmpl w:val="74E79CEE"/>
    <w:lvl w:ilvl="0" w:tentative="0">
      <w:start w:val="1"/>
      <w:numFmt w:val="decimal"/>
      <w:lvlText w:val="(%1)"/>
      <w:lvlJc w:val="left"/>
      <w:pPr>
        <w:ind w:left="425" w:hanging="425"/>
      </w:pPr>
      <w:rPr>
        <w:rFonts w:hint="default"/>
      </w:rPr>
    </w:lvl>
  </w:abstractNum>
  <w:num w:numId="1">
    <w:abstractNumId w:val="0"/>
  </w:num>
  <w:num w:numId="2">
    <w:abstractNumId w:val="6"/>
  </w:num>
  <w:num w:numId="3">
    <w:abstractNumId w:val="1"/>
  </w:num>
  <w:num w:numId="4">
    <w:abstractNumId w:val="3"/>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GIxZmZjZWRhYjRiYTJhNzUzM2YyZjdmNjIyMDUifQ=="/>
  </w:docVars>
  <w:rsids>
    <w:rsidRoot w:val="00102DCA"/>
    <w:rsid w:val="00013654"/>
    <w:rsid w:val="00025B3B"/>
    <w:rsid w:val="00102DCA"/>
    <w:rsid w:val="00215E95"/>
    <w:rsid w:val="00236652"/>
    <w:rsid w:val="0031445C"/>
    <w:rsid w:val="00333A2A"/>
    <w:rsid w:val="003D169E"/>
    <w:rsid w:val="003F5736"/>
    <w:rsid w:val="00506B17"/>
    <w:rsid w:val="00540FE8"/>
    <w:rsid w:val="00567A98"/>
    <w:rsid w:val="005A3A5B"/>
    <w:rsid w:val="006D2A98"/>
    <w:rsid w:val="007D78B0"/>
    <w:rsid w:val="00900714"/>
    <w:rsid w:val="009055BF"/>
    <w:rsid w:val="00975D66"/>
    <w:rsid w:val="00A2263E"/>
    <w:rsid w:val="00AD6F36"/>
    <w:rsid w:val="00C26007"/>
    <w:rsid w:val="00C32417"/>
    <w:rsid w:val="00C92672"/>
    <w:rsid w:val="00CF3641"/>
    <w:rsid w:val="00CF3752"/>
    <w:rsid w:val="00D26D9F"/>
    <w:rsid w:val="00D9012D"/>
    <w:rsid w:val="00E4391E"/>
    <w:rsid w:val="00E74983"/>
    <w:rsid w:val="00E757A9"/>
    <w:rsid w:val="00E95D78"/>
    <w:rsid w:val="00EB1C0E"/>
    <w:rsid w:val="00F016B5"/>
    <w:rsid w:val="00F46996"/>
    <w:rsid w:val="00F52A8D"/>
    <w:rsid w:val="00F81C9D"/>
    <w:rsid w:val="00F96ABC"/>
    <w:rsid w:val="00FC498B"/>
    <w:rsid w:val="00FE5DE6"/>
    <w:rsid w:val="011253ED"/>
    <w:rsid w:val="0116312F"/>
    <w:rsid w:val="015D0D5E"/>
    <w:rsid w:val="016A5229"/>
    <w:rsid w:val="018F4C90"/>
    <w:rsid w:val="01B110AA"/>
    <w:rsid w:val="01B3097E"/>
    <w:rsid w:val="01D1680C"/>
    <w:rsid w:val="01DB6127"/>
    <w:rsid w:val="01F64D0F"/>
    <w:rsid w:val="020923AA"/>
    <w:rsid w:val="02217FDE"/>
    <w:rsid w:val="02624152"/>
    <w:rsid w:val="027520D7"/>
    <w:rsid w:val="027619AC"/>
    <w:rsid w:val="02785724"/>
    <w:rsid w:val="02A51626"/>
    <w:rsid w:val="02B50726"/>
    <w:rsid w:val="02C60B85"/>
    <w:rsid w:val="02FE20CD"/>
    <w:rsid w:val="03011BBD"/>
    <w:rsid w:val="03353615"/>
    <w:rsid w:val="036839EA"/>
    <w:rsid w:val="036A1510"/>
    <w:rsid w:val="03724869"/>
    <w:rsid w:val="03767EB5"/>
    <w:rsid w:val="03800D34"/>
    <w:rsid w:val="03A72764"/>
    <w:rsid w:val="03AC070B"/>
    <w:rsid w:val="03C230FA"/>
    <w:rsid w:val="03CA6453"/>
    <w:rsid w:val="03DB41BC"/>
    <w:rsid w:val="03E5328D"/>
    <w:rsid w:val="041476CE"/>
    <w:rsid w:val="044C6E68"/>
    <w:rsid w:val="04561A95"/>
    <w:rsid w:val="04581CB1"/>
    <w:rsid w:val="047C599F"/>
    <w:rsid w:val="04855ADD"/>
    <w:rsid w:val="04860FD8"/>
    <w:rsid w:val="04E62991"/>
    <w:rsid w:val="04E7163B"/>
    <w:rsid w:val="04E8456B"/>
    <w:rsid w:val="052676B9"/>
    <w:rsid w:val="05467D5B"/>
    <w:rsid w:val="05524952"/>
    <w:rsid w:val="058D2695"/>
    <w:rsid w:val="058D598A"/>
    <w:rsid w:val="0591547A"/>
    <w:rsid w:val="05AC22B4"/>
    <w:rsid w:val="05C07B0D"/>
    <w:rsid w:val="05EE467B"/>
    <w:rsid w:val="06030695"/>
    <w:rsid w:val="061834A6"/>
    <w:rsid w:val="062F07EF"/>
    <w:rsid w:val="062F65B0"/>
    <w:rsid w:val="064F2C3F"/>
    <w:rsid w:val="06587D46"/>
    <w:rsid w:val="067D77AC"/>
    <w:rsid w:val="068648B3"/>
    <w:rsid w:val="068E3768"/>
    <w:rsid w:val="06A92350"/>
    <w:rsid w:val="06D73640"/>
    <w:rsid w:val="070677A2"/>
    <w:rsid w:val="07153E89"/>
    <w:rsid w:val="074309F6"/>
    <w:rsid w:val="077F1302"/>
    <w:rsid w:val="078828AD"/>
    <w:rsid w:val="07B74F40"/>
    <w:rsid w:val="07D653C6"/>
    <w:rsid w:val="07E80381"/>
    <w:rsid w:val="07F12200"/>
    <w:rsid w:val="08017F69"/>
    <w:rsid w:val="080A32C2"/>
    <w:rsid w:val="080D1E8A"/>
    <w:rsid w:val="08296A78"/>
    <w:rsid w:val="08397703"/>
    <w:rsid w:val="084533AC"/>
    <w:rsid w:val="084C38DA"/>
    <w:rsid w:val="086E3851"/>
    <w:rsid w:val="08A52FEB"/>
    <w:rsid w:val="08AF79C5"/>
    <w:rsid w:val="08C16076"/>
    <w:rsid w:val="09524F20"/>
    <w:rsid w:val="095C7B4D"/>
    <w:rsid w:val="098608AA"/>
    <w:rsid w:val="09B90AFC"/>
    <w:rsid w:val="0A283ED3"/>
    <w:rsid w:val="0A2C751F"/>
    <w:rsid w:val="0A3463D4"/>
    <w:rsid w:val="0A397E8E"/>
    <w:rsid w:val="0A432ABB"/>
    <w:rsid w:val="0A4A7645"/>
    <w:rsid w:val="0A4E393A"/>
    <w:rsid w:val="0A60302E"/>
    <w:rsid w:val="0A6749FB"/>
    <w:rsid w:val="0A917CCA"/>
    <w:rsid w:val="0AC27289"/>
    <w:rsid w:val="0AE8346F"/>
    <w:rsid w:val="0AEE0C79"/>
    <w:rsid w:val="0B04224A"/>
    <w:rsid w:val="0B093D05"/>
    <w:rsid w:val="0B0F03B9"/>
    <w:rsid w:val="0B204BAA"/>
    <w:rsid w:val="0B5D7BAD"/>
    <w:rsid w:val="0B8415DD"/>
    <w:rsid w:val="0B9E269F"/>
    <w:rsid w:val="0BA67416"/>
    <w:rsid w:val="0BD648CC"/>
    <w:rsid w:val="0BF24799"/>
    <w:rsid w:val="0C0232D1"/>
    <w:rsid w:val="0C1E733C"/>
    <w:rsid w:val="0C300E1D"/>
    <w:rsid w:val="0C3721AC"/>
    <w:rsid w:val="0C4B5C57"/>
    <w:rsid w:val="0C50326D"/>
    <w:rsid w:val="0C5C1C12"/>
    <w:rsid w:val="0C6C3BF3"/>
    <w:rsid w:val="0C923886"/>
    <w:rsid w:val="0C9A243A"/>
    <w:rsid w:val="0CB33F28"/>
    <w:rsid w:val="0CCC383D"/>
    <w:rsid w:val="0CEE6D0E"/>
    <w:rsid w:val="0CFD47D5"/>
    <w:rsid w:val="0CFF53BF"/>
    <w:rsid w:val="0D162709"/>
    <w:rsid w:val="0D203130"/>
    <w:rsid w:val="0D2766C4"/>
    <w:rsid w:val="0D423C21"/>
    <w:rsid w:val="0D556D8D"/>
    <w:rsid w:val="0D662D48"/>
    <w:rsid w:val="0D6A3AE7"/>
    <w:rsid w:val="0D780CCE"/>
    <w:rsid w:val="0D993EF8"/>
    <w:rsid w:val="0DE03144"/>
    <w:rsid w:val="0DE10621"/>
    <w:rsid w:val="0DF465A6"/>
    <w:rsid w:val="0E056A05"/>
    <w:rsid w:val="0E2844A2"/>
    <w:rsid w:val="0E364E11"/>
    <w:rsid w:val="0E574D87"/>
    <w:rsid w:val="0E5A03D3"/>
    <w:rsid w:val="0E87741A"/>
    <w:rsid w:val="0E8F4521"/>
    <w:rsid w:val="0E975183"/>
    <w:rsid w:val="0EA7186A"/>
    <w:rsid w:val="0EB6503D"/>
    <w:rsid w:val="0EE7610B"/>
    <w:rsid w:val="0EE8560C"/>
    <w:rsid w:val="0EF425D6"/>
    <w:rsid w:val="0F07055B"/>
    <w:rsid w:val="0F6634D4"/>
    <w:rsid w:val="0FA41D79"/>
    <w:rsid w:val="0FB104C7"/>
    <w:rsid w:val="0FC1070A"/>
    <w:rsid w:val="0FD91EF8"/>
    <w:rsid w:val="0FDB07CE"/>
    <w:rsid w:val="0FE268D2"/>
    <w:rsid w:val="0FEB4D67"/>
    <w:rsid w:val="0FEF171B"/>
    <w:rsid w:val="0FFA00C0"/>
    <w:rsid w:val="10142F30"/>
    <w:rsid w:val="102869DB"/>
    <w:rsid w:val="10390BE8"/>
    <w:rsid w:val="105552F6"/>
    <w:rsid w:val="1057106E"/>
    <w:rsid w:val="106F460A"/>
    <w:rsid w:val="10B4026F"/>
    <w:rsid w:val="10B4201D"/>
    <w:rsid w:val="10DB24BE"/>
    <w:rsid w:val="10DD77C5"/>
    <w:rsid w:val="10E30B54"/>
    <w:rsid w:val="10E548CC"/>
    <w:rsid w:val="11196324"/>
    <w:rsid w:val="112C6057"/>
    <w:rsid w:val="11380EA0"/>
    <w:rsid w:val="11421D1E"/>
    <w:rsid w:val="11551A52"/>
    <w:rsid w:val="115820C3"/>
    <w:rsid w:val="116C6D9B"/>
    <w:rsid w:val="11766D26"/>
    <w:rsid w:val="1182036D"/>
    <w:rsid w:val="119500DC"/>
    <w:rsid w:val="11A20F22"/>
    <w:rsid w:val="11D010D8"/>
    <w:rsid w:val="11D02E86"/>
    <w:rsid w:val="12072620"/>
    <w:rsid w:val="12082001"/>
    <w:rsid w:val="120B3B89"/>
    <w:rsid w:val="120E0E57"/>
    <w:rsid w:val="12107727"/>
    <w:rsid w:val="122A4C8C"/>
    <w:rsid w:val="122B4561"/>
    <w:rsid w:val="12302D61"/>
    <w:rsid w:val="124A2691"/>
    <w:rsid w:val="129245E0"/>
    <w:rsid w:val="12A13D28"/>
    <w:rsid w:val="12A54313"/>
    <w:rsid w:val="12B44556"/>
    <w:rsid w:val="12C10A21"/>
    <w:rsid w:val="12CF75E2"/>
    <w:rsid w:val="12F0403B"/>
    <w:rsid w:val="12F6698B"/>
    <w:rsid w:val="13130C3B"/>
    <w:rsid w:val="133631BD"/>
    <w:rsid w:val="1360023A"/>
    <w:rsid w:val="138F0B1F"/>
    <w:rsid w:val="13A70E33"/>
    <w:rsid w:val="13D604FC"/>
    <w:rsid w:val="13E175CD"/>
    <w:rsid w:val="13E744B7"/>
    <w:rsid w:val="13FC4407"/>
    <w:rsid w:val="14060AFB"/>
    <w:rsid w:val="141334FE"/>
    <w:rsid w:val="145C4EA5"/>
    <w:rsid w:val="145D29CB"/>
    <w:rsid w:val="14AF1AFB"/>
    <w:rsid w:val="14BF5434"/>
    <w:rsid w:val="14E153AA"/>
    <w:rsid w:val="14FB46BE"/>
    <w:rsid w:val="15064E11"/>
    <w:rsid w:val="151C4634"/>
    <w:rsid w:val="15233C15"/>
    <w:rsid w:val="152C2AC9"/>
    <w:rsid w:val="15311E8E"/>
    <w:rsid w:val="153151ED"/>
    <w:rsid w:val="15347BD0"/>
    <w:rsid w:val="153E27FD"/>
    <w:rsid w:val="15485429"/>
    <w:rsid w:val="15657D89"/>
    <w:rsid w:val="15A72150"/>
    <w:rsid w:val="15BD6213"/>
    <w:rsid w:val="15C34AB0"/>
    <w:rsid w:val="15CA4090"/>
    <w:rsid w:val="15D8055B"/>
    <w:rsid w:val="15F31839"/>
    <w:rsid w:val="15F335E7"/>
    <w:rsid w:val="15F96AE2"/>
    <w:rsid w:val="15FB06EE"/>
    <w:rsid w:val="15FB249C"/>
    <w:rsid w:val="1602382A"/>
    <w:rsid w:val="16077093"/>
    <w:rsid w:val="1626576B"/>
    <w:rsid w:val="162B2D81"/>
    <w:rsid w:val="164E6A70"/>
    <w:rsid w:val="165A18B8"/>
    <w:rsid w:val="1666200B"/>
    <w:rsid w:val="16663DB9"/>
    <w:rsid w:val="16840E59"/>
    <w:rsid w:val="16873D30"/>
    <w:rsid w:val="168C1346"/>
    <w:rsid w:val="16B33193"/>
    <w:rsid w:val="16C56589"/>
    <w:rsid w:val="16FA09A5"/>
    <w:rsid w:val="17051824"/>
    <w:rsid w:val="170D692B"/>
    <w:rsid w:val="1713644B"/>
    <w:rsid w:val="173259E9"/>
    <w:rsid w:val="1763654B"/>
    <w:rsid w:val="17682D86"/>
    <w:rsid w:val="176F3141"/>
    <w:rsid w:val="177D3FFD"/>
    <w:rsid w:val="17824C23"/>
    <w:rsid w:val="178C784F"/>
    <w:rsid w:val="178E628A"/>
    <w:rsid w:val="17924D93"/>
    <w:rsid w:val="17C52D61"/>
    <w:rsid w:val="17E23913"/>
    <w:rsid w:val="180C273E"/>
    <w:rsid w:val="183608AF"/>
    <w:rsid w:val="18363C5F"/>
    <w:rsid w:val="1844012A"/>
    <w:rsid w:val="186366A3"/>
    <w:rsid w:val="186B3909"/>
    <w:rsid w:val="186B56B7"/>
    <w:rsid w:val="18700F1F"/>
    <w:rsid w:val="18925339"/>
    <w:rsid w:val="18AE1A47"/>
    <w:rsid w:val="18C64FE3"/>
    <w:rsid w:val="18F27B86"/>
    <w:rsid w:val="1901601B"/>
    <w:rsid w:val="19154E9A"/>
    <w:rsid w:val="191E6BCD"/>
    <w:rsid w:val="195720DF"/>
    <w:rsid w:val="195838C6"/>
    <w:rsid w:val="19BB266E"/>
    <w:rsid w:val="19E03E83"/>
    <w:rsid w:val="19E716B5"/>
    <w:rsid w:val="19FE1295"/>
    <w:rsid w:val="1A0575B6"/>
    <w:rsid w:val="1A4300A3"/>
    <w:rsid w:val="1A44069A"/>
    <w:rsid w:val="1A491A28"/>
    <w:rsid w:val="1A734CF7"/>
    <w:rsid w:val="1A8E7D82"/>
    <w:rsid w:val="1A91517D"/>
    <w:rsid w:val="1A937147"/>
    <w:rsid w:val="1AA650CC"/>
    <w:rsid w:val="1AB71087"/>
    <w:rsid w:val="1AED4AA9"/>
    <w:rsid w:val="1AF5570C"/>
    <w:rsid w:val="1B11796B"/>
    <w:rsid w:val="1B122762"/>
    <w:rsid w:val="1B1262BE"/>
    <w:rsid w:val="1B193AF0"/>
    <w:rsid w:val="1B4641B9"/>
    <w:rsid w:val="1B530684"/>
    <w:rsid w:val="1B7500EC"/>
    <w:rsid w:val="1BA535D6"/>
    <w:rsid w:val="1BD417C5"/>
    <w:rsid w:val="1BD9502D"/>
    <w:rsid w:val="1C273FEB"/>
    <w:rsid w:val="1C427076"/>
    <w:rsid w:val="1C730FDE"/>
    <w:rsid w:val="1C744EE3"/>
    <w:rsid w:val="1C7B7E93"/>
    <w:rsid w:val="1C84591E"/>
    <w:rsid w:val="1C850D11"/>
    <w:rsid w:val="1C9F0025"/>
    <w:rsid w:val="1CA94A00"/>
    <w:rsid w:val="1CAE2016"/>
    <w:rsid w:val="1CC161ED"/>
    <w:rsid w:val="1CC62B63"/>
    <w:rsid w:val="1CE73720"/>
    <w:rsid w:val="1CEE4B08"/>
    <w:rsid w:val="1CF87735"/>
    <w:rsid w:val="1D1D719C"/>
    <w:rsid w:val="1D41732E"/>
    <w:rsid w:val="1D5D053C"/>
    <w:rsid w:val="1D7F1C04"/>
    <w:rsid w:val="1D975F12"/>
    <w:rsid w:val="1D9E02DC"/>
    <w:rsid w:val="1DB96EC4"/>
    <w:rsid w:val="1DDD4649"/>
    <w:rsid w:val="1DF31440"/>
    <w:rsid w:val="1DFC3255"/>
    <w:rsid w:val="1E0A3BC4"/>
    <w:rsid w:val="1E5B152D"/>
    <w:rsid w:val="1E6D7CAF"/>
    <w:rsid w:val="1E9811D0"/>
    <w:rsid w:val="1E9B2A6E"/>
    <w:rsid w:val="1EB578C7"/>
    <w:rsid w:val="1EF65EF6"/>
    <w:rsid w:val="1F24418F"/>
    <w:rsid w:val="1F503858"/>
    <w:rsid w:val="1F617814"/>
    <w:rsid w:val="1F686DF4"/>
    <w:rsid w:val="1F6B0692"/>
    <w:rsid w:val="1F813A12"/>
    <w:rsid w:val="1F8D239D"/>
    <w:rsid w:val="1F971487"/>
    <w:rsid w:val="1FB55782"/>
    <w:rsid w:val="1FBE4C66"/>
    <w:rsid w:val="1FDB75C6"/>
    <w:rsid w:val="1FE50445"/>
    <w:rsid w:val="1FEB79A2"/>
    <w:rsid w:val="1FF04F55"/>
    <w:rsid w:val="20012DA5"/>
    <w:rsid w:val="20016901"/>
    <w:rsid w:val="20232D1B"/>
    <w:rsid w:val="203E7B55"/>
    <w:rsid w:val="204131A1"/>
    <w:rsid w:val="20506B2C"/>
    <w:rsid w:val="205B24B5"/>
    <w:rsid w:val="206051B5"/>
    <w:rsid w:val="20607ACB"/>
    <w:rsid w:val="20617E42"/>
    <w:rsid w:val="206F41B2"/>
    <w:rsid w:val="20784E15"/>
    <w:rsid w:val="20857532"/>
    <w:rsid w:val="20AA51EA"/>
    <w:rsid w:val="20B63B8F"/>
    <w:rsid w:val="20CC33B3"/>
    <w:rsid w:val="20E93F65"/>
    <w:rsid w:val="21076199"/>
    <w:rsid w:val="21294361"/>
    <w:rsid w:val="214C004F"/>
    <w:rsid w:val="214D44F3"/>
    <w:rsid w:val="215313DE"/>
    <w:rsid w:val="215C4736"/>
    <w:rsid w:val="21823A71"/>
    <w:rsid w:val="218D2B42"/>
    <w:rsid w:val="219263AA"/>
    <w:rsid w:val="21B207FA"/>
    <w:rsid w:val="21B31E7D"/>
    <w:rsid w:val="21C422DC"/>
    <w:rsid w:val="21C4408A"/>
    <w:rsid w:val="21CD2F3E"/>
    <w:rsid w:val="21CD73E2"/>
    <w:rsid w:val="21E76F54"/>
    <w:rsid w:val="2221772E"/>
    <w:rsid w:val="22317971"/>
    <w:rsid w:val="223B53EA"/>
    <w:rsid w:val="224650EC"/>
    <w:rsid w:val="224C6559"/>
    <w:rsid w:val="22806203"/>
    <w:rsid w:val="22853819"/>
    <w:rsid w:val="229D6DB5"/>
    <w:rsid w:val="22AC524A"/>
    <w:rsid w:val="22B660C8"/>
    <w:rsid w:val="22B70195"/>
    <w:rsid w:val="22BB548D"/>
    <w:rsid w:val="22DE4A80"/>
    <w:rsid w:val="22E42C35"/>
    <w:rsid w:val="2309269C"/>
    <w:rsid w:val="23133FE2"/>
    <w:rsid w:val="231921B3"/>
    <w:rsid w:val="23203542"/>
    <w:rsid w:val="2329689A"/>
    <w:rsid w:val="236C5BC2"/>
    <w:rsid w:val="236E0751"/>
    <w:rsid w:val="236E69A3"/>
    <w:rsid w:val="23782B4D"/>
    <w:rsid w:val="238241FC"/>
    <w:rsid w:val="238735C1"/>
    <w:rsid w:val="239F090A"/>
    <w:rsid w:val="23A63703"/>
    <w:rsid w:val="23CD5478"/>
    <w:rsid w:val="23DE58D7"/>
    <w:rsid w:val="23E12CD1"/>
    <w:rsid w:val="23F70746"/>
    <w:rsid w:val="2423153B"/>
    <w:rsid w:val="242B219E"/>
    <w:rsid w:val="24381196"/>
    <w:rsid w:val="243C084F"/>
    <w:rsid w:val="246F211E"/>
    <w:rsid w:val="246F263F"/>
    <w:rsid w:val="247B3126"/>
    <w:rsid w:val="2481036F"/>
    <w:rsid w:val="24B16B47"/>
    <w:rsid w:val="24D34D10"/>
    <w:rsid w:val="24D64800"/>
    <w:rsid w:val="24D855D5"/>
    <w:rsid w:val="25457290"/>
    <w:rsid w:val="25513E86"/>
    <w:rsid w:val="25583467"/>
    <w:rsid w:val="255A71DF"/>
    <w:rsid w:val="25665B84"/>
    <w:rsid w:val="2572277A"/>
    <w:rsid w:val="257D2C18"/>
    <w:rsid w:val="25880798"/>
    <w:rsid w:val="2593624D"/>
    <w:rsid w:val="25C74149"/>
    <w:rsid w:val="260D4251"/>
    <w:rsid w:val="261E020C"/>
    <w:rsid w:val="26265313"/>
    <w:rsid w:val="263B480B"/>
    <w:rsid w:val="2668592C"/>
    <w:rsid w:val="268A58A2"/>
    <w:rsid w:val="26906C30"/>
    <w:rsid w:val="269427E9"/>
    <w:rsid w:val="26B11081"/>
    <w:rsid w:val="26CB1A16"/>
    <w:rsid w:val="26D60AE7"/>
    <w:rsid w:val="26E2748C"/>
    <w:rsid w:val="26F65890"/>
    <w:rsid w:val="26F73072"/>
    <w:rsid w:val="275859A0"/>
    <w:rsid w:val="278055B9"/>
    <w:rsid w:val="2786250D"/>
    <w:rsid w:val="27A26C1B"/>
    <w:rsid w:val="27AE55C0"/>
    <w:rsid w:val="27B119B4"/>
    <w:rsid w:val="27B87321"/>
    <w:rsid w:val="27C941A8"/>
    <w:rsid w:val="27D35027"/>
    <w:rsid w:val="280E605F"/>
    <w:rsid w:val="28101DD7"/>
    <w:rsid w:val="281178FD"/>
    <w:rsid w:val="281E1EFD"/>
    <w:rsid w:val="284D4DD9"/>
    <w:rsid w:val="285443B9"/>
    <w:rsid w:val="285C6DCA"/>
    <w:rsid w:val="28677F43"/>
    <w:rsid w:val="288A18A7"/>
    <w:rsid w:val="289C366A"/>
    <w:rsid w:val="28A15125"/>
    <w:rsid w:val="28A6098D"/>
    <w:rsid w:val="28B135BA"/>
    <w:rsid w:val="28BA1D43"/>
    <w:rsid w:val="28C332ED"/>
    <w:rsid w:val="28D9041B"/>
    <w:rsid w:val="28DE1ED5"/>
    <w:rsid w:val="28EA087A"/>
    <w:rsid w:val="28EB0DF4"/>
    <w:rsid w:val="28F35A62"/>
    <w:rsid w:val="28F74D45"/>
    <w:rsid w:val="291122AA"/>
    <w:rsid w:val="291F7550"/>
    <w:rsid w:val="293843DA"/>
    <w:rsid w:val="29424212"/>
    <w:rsid w:val="298F1A88"/>
    <w:rsid w:val="29A749BD"/>
    <w:rsid w:val="29EA6657"/>
    <w:rsid w:val="2A326077"/>
    <w:rsid w:val="2A9036A3"/>
    <w:rsid w:val="2A946CEF"/>
    <w:rsid w:val="2A9A62D0"/>
    <w:rsid w:val="2ABC1DA2"/>
    <w:rsid w:val="2AC60E73"/>
    <w:rsid w:val="2AD73080"/>
    <w:rsid w:val="2B0025D7"/>
    <w:rsid w:val="2B141BDE"/>
    <w:rsid w:val="2B255B99"/>
    <w:rsid w:val="2B275DB5"/>
    <w:rsid w:val="2B2838DB"/>
    <w:rsid w:val="2B2C33CC"/>
    <w:rsid w:val="2B3C2EE3"/>
    <w:rsid w:val="2B485D2C"/>
    <w:rsid w:val="2B591CE7"/>
    <w:rsid w:val="2B5E72FD"/>
    <w:rsid w:val="2B65068C"/>
    <w:rsid w:val="2B6A3EF4"/>
    <w:rsid w:val="2B870602"/>
    <w:rsid w:val="2B8949D6"/>
    <w:rsid w:val="2B91322F"/>
    <w:rsid w:val="2BEF61A7"/>
    <w:rsid w:val="2BFC4078"/>
    <w:rsid w:val="2C5214E3"/>
    <w:rsid w:val="2C680433"/>
    <w:rsid w:val="2C842D93"/>
    <w:rsid w:val="2C8D1C48"/>
    <w:rsid w:val="2C92725E"/>
    <w:rsid w:val="2C9E20A7"/>
    <w:rsid w:val="2CA376BD"/>
    <w:rsid w:val="2CC056E2"/>
    <w:rsid w:val="2CC969F8"/>
    <w:rsid w:val="2CD535EF"/>
    <w:rsid w:val="2CD65314"/>
    <w:rsid w:val="2CED0939"/>
    <w:rsid w:val="2D4B565F"/>
    <w:rsid w:val="2D4F514F"/>
    <w:rsid w:val="2D796670"/>
    <w:rsid w:val="2D8E211C"/>
    <w:rsid w:val="2DC91F4E"/>
    <w:rsid w:val="2DD074DC"/>
    <w:rsid w:val="2DFD143F"/>
    <w:rsid w:val="2DFF66F7"/>
    <w:rsid w:val="2E0F16E3"/>
    <w:rsid w:val="2E1F500D"/>
    <w:rsid w:val="2E2E745B"/>
    <w:rsid w:val="2E9F2106"/>
    <w:rsid w:val="2EB42CCA"/>
    <w:rsid w:val="2EB536D8"/>
    <w:rsid w:val="2EBD433B"/>
    <w:rsid w:val="2ED41F2D"/>
    <w:rsid w:val="2EDE2C2F"/>
    <w:rsid w:val="2F0324FC"/>
    <w:rsid w:val="2F065CE2"/>
    <w:rsid w:val="2F236894"/>
    <w:rsid w:val="2F260132"/>
    <w:rsid w:val="2F2D326E"/>
    <w:rsid w:val="2F634EE2"/>
    <w:rsid w:val="2F6824F8"/>
    <w:rsid w:val="2F6A6270"/>
    <w:rsid w:val="2F936BBF"/>
    <w:rsid w:val="2FB13E9F"/>
    <w:rsid w:val="2FD933F6"/>
    <w:rsid w:val="2FD951A4"/>
    <w:rsid w:val="2FDE0A0C"/>
    <w:rsid w:val="2FE9188B"/>
    <w:rsid w:val="2FF41FDE"/>
    <w:rsid w:val="300B73F6"/>
    <w:rsid w:val="302E54F0"/>
    <w:rsid w:val="305111DE"/>
    <w:rsid w:val="306058C5"/>
    <w:rsid w:val="306233EC"/>
    <w:rsid w:val="30766E97"/>
    <w:rsid w:val="30821D54"/>
    <w:rsid w:val="309D05AA"/>
    <w:rsid w:val="30A92DC8"/>
    <w:rsid w:val="30AA08EF"/>
    <w:rsid w:val="30B579BF"/>
    <w:rsid w:val="30C916BD"/>
    <w:rsid w:val="30CC4D09"/>
    <w:rsid w:val="30D342E9"/>
    <w:rsid w:val="30E97669"/>
    <w:rsid w:val="30F46739"/>
    <w:rsid w:val="30F8425E"/>
    <w:rsid w:val="30FA3624"/>
    <w:rsid w:val="31061FC9"/>
    <w:rsid w:val="31071BD3"/>
    <w:rsid w:val="3152520E"/>
    <w:rsid w:val="316513E5"/>
    <w:rsid w:val="316E1210"/>
    <w:rsid w:val="31A55C86"/>
    <w:rsid w:val="31E00A6C"/>
    <w:rsid w:val="31F91B2E"/>
    <w:rsid w:val="322546D1"/>
    <w:rsid w:val="32335040"/>
    <w:rsid w:val="32356A97"/>
    <w:rsid w:val="323A2CC6"/>
    <w:rsid w:val="32430FFB"/>
    <w:rsid w:val="325B4596"/>
    <w:rsid w:val="327613D0"/>
    <w:rsid w:val="32780CA4"/>
    <w:rsid w:val="328F5FEE"/>
    <w:rsid w:val="32C263C3"/>
    <w:rsid w:val="32D103B5"/>
    <w:rsid w:val="32EB1476"/>
    <w:rsid w:val="32F50547"/>
    <w:rsid w:val="32FF3174"/>
    <w:rsid w:val="33062754"/>
    <w:rsid w:val="331D35FA"/>
    <w:rsid w:val="3361379C"/>
    <w:rsid w:val="33633703"/>
    <w:rsid w:val="3390201E"/>
    <w:rsid w:val="33A25B29"/>
    <w:rsid w:val="33AA1331"/>
    <w:rsid w:val="33DE77D3"/>
    <w:rsid w:val="33E83C08"/>
    <w:rsid w:val="341964B7"/>
    <w:rsid w:val="341D7D55"/>
    <w:rsid w:val="34232E92"/>
    <w:rsid w:val="34945B3E"/>
    <w:rsid w:val="349618B6"/>
    <w:rsid w:val="34AE4E51"/>
    <w:rsid w:val="34BA1016"/>
    <w:rsid w:val="34C93A39"/>
    <w:rsid w:val="350535BC"/>
    <w:rsid w:val="35184AC3"/>
    <w:rsid w:val="35303AB8"/>
    <w:rsid w:val="35417A73"/>
    <w:rsid w:val="354B26A0"/>
    <w:rsid w:val="354E2190"/>
    <w:rsid w:val="35645510"/>
    <w:rsid w:val="35843E04"/>
    <w:rsid w:val="359F1FBC"/>
    <w:rsid w:val="35A65B28"/>
    <w:rsid w:val="35AC4A89"/>
    <w:rsid w:val="35B53FBD"/>
    <w:rsid w:val="35C10BB4"/>
    <w:rsid w:val="35E548A3"/>
    <w:rsid w:val="35E623C9"/>
    <w:rsid w:val="35FE3BB6"/>
    <w:rsid w:val="36050AA1"/>
    <w:rsid w:val="361164F9"/>
    <w:rsid w:val="363475D8"/>
    <w:rsid w:val="364041CF"/>
    <w:rsid w:val="36511F38"/>
    <w:rsid w:val="366C4FC4"/>
    <w:rsid w:val="36716136"/>
    <w:rsid w:val="3679323D"/>
    <w:rsid w:val="36853990"/>
    <w:rsid w:val="36BB5604"/>
    <w:rsid w:val="36CF172B"/>
    <w:rsid w:val="36D93CDC"/>
    <w:rsid w:val="36E52680"/>
    <w:rsid w:val="36EE3C2B"/>
    <w:rsid w:val="36F86858"/>
    <w:rsid w:val="36FF3742"/>
    <w:rsid w:val="37347390"/>
    <w:rsid w:val="374A4272"/>
    <w:rsid w:val="37691503"/>
    <w:rsid w:val="37712166"/>
    <w:rsid w:val="377203B8"/>
    <w:rsid w:val="37863E63"/>
    <w:rsid w:val="37920FAE"/>
    <w:rsid w:val="379C5435"/>
    <w:rsid w:val="37BF2ED1"/>
    <w:rsid w:val="37BF7375"/>
    <w:rsid w:val="37D864DF"/>
    <w:rsid w:val="37DE4F22"/>
    <w:rsid w:val="37E90DFF"/>
    <w:rsid w:val="37F306BF"/>
    <w:rsid w:val="37FA03AE"/>
    <w:rsid w:val="37FB65FF"/>
    <w:rsid w:val="37FE0959"/>
    <w:rsid w:val="381F1BC2"/>
    <w:rsid w:val="382611A3"/>
    <w:rsid w:val="382D0783"/>
    <w:rsid w:val="3834566E"/>
    <w:rsid w:val="385201EA"/>
    <w:rsid w:val="386046B4"/>
    <w:rsid w:val="38683569"/>
    <w:rsid w:val="386F66A6"/>
    <w:rsid w:val="387E4B3B"/>
    <w:rsid w:val="388D2FD0"/>
    <w:rsid w:val="389A274D"/>
    <w:rsid w:val="391E70E9"/>
    <w:rsid w:val="39316051"/>
    <w:rsid w:val="39447B32"/>
    <w:rsid w:val="39882115"/>
    <w:rsid w:val="399F723C"/>
    <w:rsid w:val="39B07817"/>
    <w:rsid w:val="39DF5AAD"/>
    <w:rsid w:val="3A32526F"/>
    <w:rsid w:val="3A52002D"/>
    <w:rsid w:val="3A6F5083"/>
    <w:rsid w:val="3A7C7AC5"/>
    <w:rsid w:val="3AA11540"/>
    <w:rsid w:val="3ABE1B66"/>
    <w:rsid w:val="3AC0768C"/>
    <w:rsid w:val="3ACF167E"/>
    <w:rsid w:val="3AD538D2"/>
    <w:rsid w:val="3AE85519"/>
    <w:rsid w:val="3AF31810"/>
    <w:rsid w:val="3B003F2D"/>
    <w:rsid w:val="3B043A1D"/>
    <w:rsid w:val="3B385475"/>
    <w:rsid w:val="3B673FAC"/>
    <w:rsid w:val="3B7B1916"/>
    <w:rsid w:val="3B893F22"/>
    <w:rsid w:val="3BED44B1"/>
    <w:rsid w:val="3BF55114"/>
    <w:rsid w:val="3BF75330"/>
    <w:rsid w:val="3BFC46F4"/>
    <w:rsid w:val="3C30439E"/>
    <w:rsid w:val="3C46443A"/>
    <w:rsid w:val="3C4C3631"/>
    <w:rsid w:val="3C636521"/>
    <w:rsid w:val="3C752089"/>
    <w:rsid w:val="3C8B5F5F"/>
    <w:rsid w:val="3C950F0C"/>
    <w:rsid w:val="3CEF6007"/>
    <w:rsid w:val="3CF60458"/>
    <w:rsid w:val="3D0715A3"/>
    <w:rsid w:val="3D0F0457"/>
    <w:rsid w:val="3D3B749E"/>
    <w:rsid w:val="3D6D1232"/>
    <w:rsid w:val="3D712EC0"/>
    <w:rsid w:val="3D7F382F"/>
    <w:rsid w:val="3D8726E3"/>
    <w:rsid w:val="3DC54FBA"/>
    <w:rsid w:val="3DD75419"/>
    <w:rsid w:val="3E126451"/>
    <w:rsid w:val="3E1F46CA"/>
    <w:rsid w:val="3E391C70"/>
    <w:rsid w:val="3E46434D"/>
    <w:rsid w:val="3E750F66"/>
    <w:rsid w:val="3E8B7FB1"/>
    <w:rsid w:val="3E9F347B"/>
    <w:rsid w:val="3EA03A5D"/>
    <w:rsid w:val="3EAC2EAE"/>
    <w:rsid w:val="3EC3774B"/>
    <w:rsid w:val="3EDE27D7"/>
    <w:rsid w:val="3EEF6FFF"/>
    <w:rsid w:val="3EF06066"/>
    <w:rsid w:val="3F0062A9"/>
    <w:rsid w:val="3F204B9E"/>
    <w:rsid w:val="3F3B3785"/>
    <w:rsid w:val="3F4A7E6C"/>
    <w:rsid w:val="3F6251B6"/>
    <w:rsid w:val="3F8C2233"/>
    <w:rsid w:val="3FA70E1B"/>
    <w:rsid w:val="3FFA719D"/>
    <w:rsid w:val="40224945"/>
    <w:rsid w:val="402266C5"/>
    <w:rsid w:val="40267F92"/>
    <w:rsid w:val="40534AFF"/>
    <w:rsid w:val="405A40DF"/>
    <w:rsid w:val="406960D0"/>
    <w:rsid w:val="4070745F"/>
    <w:rsid w:val="40830CEB"/>
    <w:rsid w:val="40B01F51"/>
    <w:rsid w:val="40C17CBA"/>
    <w:rsid w:val="40D2591E"/>
    <w:rsid w:val="41004C87"/>
    <w:rsid w:val="41087697"/>
    <w:rsid w:val="410A78B3"/>
    <w:rsid w:val="41434B73"/>
    <w:rsid w:val="414C1C7A"/>
    <w:rsid w:val="414C3A28"/>
    <w:rsid w:val="4168282C"/>
    <w:rsid w:val="418A4550"/>
    <w:rsid w:val="41901927"/>
    <w:rsid w:val="419418DC"/>
    <w:rsid w:val="419E58AE"/>
    <w:rsid w:val="41BD0482"/>
    <w:rsid w:val="41C95079"/>
    <w:rsid w:val="41DE664A"/>
    <w:rsid w:val="41F540C0"/>
    <w:rsid w:val="42132798"/>
    <w:rsid w:val="424757AB"/>
    <w:rsid w:val="42483186"/>
    <w:rsid w:val="425863FC"/>
    <w:rsid w:val="426D00FA"/>
    <w:rsid w:val="42A45AE6"/>
    <w:rsid w:val="42BA70B7"/>
    <w:rsid w:val="42D924E6"/>
    <w:rsid w:val="42F51E9D"/>
    <w:rsid w:val="42F56341"/>
    <w:rsid w:val="430420E0"/>
    <w:rsid w:val="43087E22"/>
    <w:rsid w:val="431B6011"/>
    <w:rsid w:val="431E7646"/>
    <w:rsid w:val="435E7A42"/>
    <w:rsid w:val="43617533"/>
    <w:rsid w:val="437159C8"/>
    <w:rsid w:val="438C45B0"/>
    <w:rsid w:val="43994F1E"/>
    <w:rsid w:val="43B9111D"/>
    <w:rsid w:val="43C71A8C"/>
    <w:rsid w:val="43C81360"/>
    <w:rsid w:val="43DF5027"/>
    <w:rsid w:val="441427F7"/>
    <w:rsid w:val="442962A2"/>
    <w:rsid w:val="442A3DC9"/>
    <w:rsid w:val="445175A7"/>
    <w:rsid w:val="44617D96"/>
    <w:rsid w:val="44654E01"/>
    <w:rsid w:val="44692B43"/>
    <w:rsid w:val="448B4867"/>
    <w:rsid w:val="449079FB"/>
    <w:rsid w:val="44A818BD"/>
    <w:rsid w:val="44B33DBE"/>
    <w:rsid w:val="44D73F50"/>
    <w:rsid w:val="45126D36"/>
    <w:rsid w:val="45343151"/>
    <w:rsid w:val="454D7D6F"/>
    <w:rsid w:val="45596713"/>
    <w:rsid w:val="4568104C"/>
    <w:rsid w:val="4568580E"/>
    <w:rsid w:val="457479F1"/>
    <w:rsid w:val="4585575A"/>
    <w:rsid w:val="459D60E3"/>
    <w:rsid w:val="45BF387F"/>
    <w:rsid w:val="45D1274E"/>
    <w:rsid w:val="46003033"/>
    <w:rsid w:val="46195EA3"/>
    <w:rsid w:val="46284338"/>
    <w:rsid w:val="462A4554"/>
    <w:rsid w:val="462F1C33"/>
    <w:rsid w:val="462F56C6"/>
    <w:rsid w:val="463158E2"/>
    <w:rsid w:val="464A34CB"/>
    <w:rsid w:val="465D172D"/>
    <w:rsid w:val="46733805"/>
    <w:rsid w:val="46DF0E9A"/>
    <w:rsid w:val="46E6047B"/>
    <w:rsid w:val="471F398D"/>
    <w:rsid w:val="47262F6D"/>
    <w:rsid w:val="474A0503"/>
    <w:rsid w:val="47507FEA"/>
    <w:rsid w:val="476475F1"/>
    <w:rsid w:val="478101A3"/>
    <w:rsid w:val="47B642F1"/>
    <w:rsid w:val="47C22C96"/>
    <w:rsid w:val="47C3256A"/>
    <w:rsid w:val="47F15CBC"/>
    <w:rsid w:val="47F16027"/>
    <w:rsid w:val="480A1F47"/>
    <w:rsid w:val="48142DC6"/>
    <w:rsid w:val="482254E2"/>
    <w:rsid w:val="483D5387"/>
    <w:rsid w:val="484A2C8B"/>
    <w:rsid w:val="484D0086"/>
    <w:rsid w:val="484E4529"/>
    <w:rsid w:val="48621D83"/>
    <w:rsid w:val="48763A80"/>
    <w:rsid w:val="4880045B"/>
    <w:rsid w:val="489F09EA"/>
    <w:rsid w:val="48B00D40"/>
    <w:rsid w:val="48D52555"/>
    <w:rsid w:val="48E96000"/>
    <w:rsid w:val="48FD5F50"/>
    <w:rsid w:val="49107A31"/>
    <w:rsid w:val="495528C9"/>
    <w:rsid w:val="49830203"/>
    <w:rsid w:val="499046CE"/>
    <w:rsid w:val="49B50217"/>
    <w:rsid w:val="49C8030C"/>
    <w:rsid w:val="49D547D7"/>
    <w:rsid w:val="49E22A33"/>
    <w:rsid w:val="49FA5FEB"/>
    <w:rsid w:val="4A0A26D2"/>
    <w:rsid w:val="4A0B01F8"/>
    <w:rsid w:val="4A1946C3"/>
    <w:rsid w:val="4A227A1C"/>
    <w:rsid w:val="4A2319E6"/>
    <w:rsid w:val="4A325785"/>
    <w:rsid w:val="4A3A4921"/>
    <w:rsid w:val="4A4756D4"/>
    <w:rsid w:val="4A6F5702"/>
    <w:rsid w:val="4A791606"/>
    <w:rsid w:val="4A800BE6"/>
    <w:rsid w:val="4A8F0121"/>
    <w:rsid w:val="4AAF5028"/>
    <w:rsid w:val="4AB56AE2"/>
    <w:rsid w:val="4AB97C54"/>
    <w:rsid w:val="4ACA3C0F"/>
    <w:rsid w:val="4AD36F68"/>
    <w:rsid w:val="4AE747C1"/>
    <w:rsid w:val="4AEB42B2"/>
    <w:rsid w:val="4B001171"/>
    <w:rsid w:val="4B06733D"/>
    <w:rsid w:val="4B15132F"/>
    <w:rsid w:val="4B3A2B43"/>
    <w:rsid w:val="4B427C4A"/>
    <w:rsid w:val="4B5736F5"/>
    <w:rsid w:val="4B920BD1"/>
    <w:rsid w:val="4BA34B8C"/>
    <w:rsid w:val="4BBE19C6"/>
    <w:rsid w:val="4BBF74EC"/>
    <w:rsid w:val="4BCB7C3F"/>
    <w:rsid w:val="4BD765E4"/>
    <w:rsid w:val="4BE96317"/>
    <w:rsid w:val="4BF453E8"/>
    <w:rsid w:val="4C003D8D"/>
    <w:rsid w:val="4C251A45"/>
    <w:rsid w:val="4C2C4B82"/>
    <w:rsid w:val="4C447246"/>
    <w:rsid w:val="4C46376A"/>
    <w:rsid w:val="4C4F0870"/>
    <w:rsid w:val="4C4F6AC2"/>
    <w:rsid w:val="4C5365B2"/>
    <w:rsid w:val="4C5916EF"/>
    <w:rsid w:val="4C5B5467"/>
    <w:rsid w:val="4C5E6D05"/>
    <w:rsid w:val="4CD945DE"/>
    <w:rsid w:val="4CFD416E"/>
    <w:rsid w:val="4D021D86"/>
    <w:rsid w:val="4D0E24D9"/>
    <w:rsid w:val="4D1F0243"/>
    <w:rsid w:val="4D2770F7"/>
    <w:rsid w:val="4D573E80"/>
    <w:rsid w:val="4D5B4FF3"/>
    <w:rsid w:val="4D6A264C"/>
    <w:rsid w:val="4D9724CF"/>
    <w:rsid w:val="4DA50D3D"/>
    <w:rsid w:val="4DAB5F7A"/>
    <w:rsid w:val="4DC4703C"/>
    <w:rsid w:val="4DC82C9A"/>
    <w:rsid w:val="4DCA2B2F"/>
    <w:rsid w:val="4DF94F37"/>
    <w:rsid w:val="4E17716C"/>
    <w:rsid w:val="4E257ADB"/>
    <w:rsid w:val="4E516261"/>
    <w:rsid w:val="4E834801"/>
    <w:rsid w:val="4E9B1B4B"/>
    <w:rsid w:val="4EB175C0"/>
    <w:rsid w:val="4EB32D66"/>
    <w:rsid w:val="4EE03A01"/>
    <w:rsid w:val="4F0E67C1"/>
    <w:rsid w:val="4F1B2C8C"/>
    <w:rsid w:val="4F1D2EA8"/>
    <w:rsid w:val="4F3501F1"/>
    <w:rsid w:val="4F3B332E"/>
    <w:rsid w:val="4F455F5A"/>
    <w:rsid w:val="4F4641AC"/>
    <w:rsid w:val="4F4915A7"/>
    <w:rsid w:val="4F4E12B3"/>
    <w:rsid w:val="4F6208BA"/>
    <w:rsid w:val="4F697E9B"/>
    <w:rsid w:val="4F74239C"/>
    <w:rsid w:val="4FBF5D0D"/>
    <w:rsid w:val="4FCD4D4A"/>
    <w:rsid w:val="4FE85264"/>
    <w:rsid w:val="4FF63749"/>
    <w:rsid w:val="4FF754A7"/>
    <w:rsid w:val="5023629C"/>
    <w:rsid w:val="502643B9"/>
    <w:rsid w:val="5038161B"/>
    <w:rsid w:val="50574197"/>
    <w:rsid w:val="50770396"/>
    <w:rsid w:val="50926F7D"/>
    <w:rsid w:val="509B4084"/>
    <w:rsid w:val="50AD3DB7"/>
    <w:rsid w:val="50B05655"/>
    <w:rsid w:val="50BB0255"/>
    <w:rsid w:val="50CC248F"/>
    <w:rsid w:val="50E517A3"/>
    <w:rsid w:val="50F6750C"/>
    <w:rsid w:val="51037E7B"/>
    <w:rsid w:val="51226553"/>
    <w:rsid w:val="51254295"/>
    <w:rsid w:val="51750D79"/>
    <w:rsid w:val="51A16977"/>
    <w:rsid w:val="51A72EFC"/>
    <w:rsid w:val="51B573C7"/>
    <w:rsid w:val="51B80C66"/>
    <w:rsid w:val="51B86EB8"/>
    <w:rsid w:val="51EE0B2B"/>
    <w:rsid w:val="52235AA1"/>
    <w:rsid w:val="52302EF2"/>
    <w:rsid w:val="52417FCB"/>
    <w:rsid w:val="526A6404"/>
    <w:rsid w:val="52B15DE1"/>
    <w:rsid w:val="52B633F7"/>
    <w:rsid w:val="52C84ED8"/>
    <w:rsid w:val="530A729F"/>
    <w:rsid w:val="53164933"/>
    <w:rsid w:val="531B048E"/>
    <w:rsid w:val="531B5950"/>
    <w:rsid w:val="53513120"/>
    <w:rsid w:val="536A5F90"/>
    <w:rsid w:val="53764934"/>
    <w:rsid w:val="538C5F06"/>
    <w:rsid w:val="539A6875"/>
    <w:rsid w:val="53AE46DC"/>
    <w:rsid w:val="53C50E71"/>
    <w:rsid w:val="53C75190"/>
    <w:rsid w:val="53FF6A44"/>
    <w:rsid w:val="541776E2"/>
    <w:rsid w:val="541F321E"/>
    <w:rsid w:val="54212E7B"/>
    <w:rsid w:val="543C5B7E"/>
    <w:rsid w:val="54422A68"/>
    <w:rsid w:val="544A11FE"/>
    <w:rsid w:val="54505070"/>
    <w:rsid w:val="545729B8"/>
    <w:rsid w:val="547B6AD0"/>
    <w:rsid w:val="547E6196"/>
    <w:rsid w:val="54A43723"/>
    <w:rsid w:val="54AB59CA"/>
    <w:rsid w:val="54D36316"/>
    <w:rsid w:val="54DF6509"/>
    <w:rsid w:val="54E3424B"/>
    <w:rsid w:val="54EA382C"/>
    <w:rsid w:val="54ED50CA"/>
    <w:rsid w:val="54F2623D"/>
    <w:rsid w:val="54FC355F"/>
    <w:rsid w:val="55144405"/>
    <w:rsid w:val="5536081F"/>
    <w:rsid w:val="55432F3C"/>
    <w:rsid w:val="55434CEA"/>
    <w:rsid w:val="554967A4"/>
    <w:rsid w:val="555D5DAC"/>
    <w:rsid w:val="55711857"/>
    <w:rsid w:val="557430F6"/>
    <w:rsid w:val="558414D6"/>
    <w:rsid w:val="558E2409"/>
    <w:rsid w:val="55AE3207"/>
    <w:rsid w:val="55B17EA6"/>
    <w:rsid w:val="55CF657E"/>
    <w:rsid w:val="55D32512"/>
    <w:rsid w:val="55D63DB0"/>
    <w:rsid w:val="55EE2EA8"/>
    <w:rsid w:val="56496330"/>
    <w:rsid w:val="56772E9D"/>
    <w:rsid w:val="567A298E"/>
    <w:rsid w:val="568850AA"/>
    <w:rsid w:val="56941CA1"/>
    <w:rsid w:val="56A1616C"/>
    <w:rsid w:val="56A93273"/>
    <w:rsid w:val="56B45E9F"/>
    <w:rsid w:val="56FE711B"/>
    <w:rsid w:val="570861EB"/>
    <w:rsid w:val="57201787"/>
    <w:rsid w:val="57256D9D"/>
    <w:rsid w:val="57390153"/>
    <w:rsid w:val="57462870"/>
    <w:rsid w:val="574F5BC8"/>
    <w:rsid w:val="57C2639A"/>
    <w:rsid w:val="57E15B41"/>
    <w:rsid w:val="57E36310"/>
    <w:rsid w:val="57EA58F1"/>
    <w:rsid w:val="58447FC9"/>
    <w:rsid w:val="58800458"/>
    <w:rsid w:val="588C69A8"/>
    <w:rsid w:val="589F0489"/>
    <w:rsid w:val="58FD3402"/>
    <w:rsid w:val="590D7AE9"/>
    <w:rsid w:val="59103135"/>
    <w:rsid w:val="591F781C"/>
    <w:rsid w:val="592D1F39"/>
    <w:rsid w:val="593037D7"/>
    <w:rsid w:val="595219A0"/>
    <w:rsid w:val="59575208"/>
    <w:rsid w:val="59605E6B"/>
    <w:rsid w:val="59747B49"/>
    <w:rsid w:val="597638E0"/>
    <w:rsid w:val="598D0C2A"/>
    <w:rsid w:val="598F04FE"/>
    <w:rsid w:val="599124C8"/>
    <w:rsid w:val="599E4BE5"/>
    <w:rsid w:val="59C56616"/>
    <w:rsid w:val="59CE54CA"/>
    <w:rsid w:val="59CF4D9E"/>
    <w:rsid w:val="59D6612D"/>
    <w:rsid w:val="5A2C0443"/>
    <w:rsid w:val="5A36306F"/>
    <w:rsid w:val="5A5F4374"/>
    <w:rsid w:val="5A6951F3"/>
    <w:rsid w:val="5A763514"/>
    <w:rsid w:val="5A8B5169"/>
    <w:rsid w:val="5A8D7133"/>
    <w:rsid w:val="5AA61F61"/>
    <w:rsid w:val="5ADC3C17"/>
    <w:rsid w:val="5AED1980"/>
    <w:rsid w:val="5AF54CD9"/>
    <w:rsid w:val="5B060C94"/>
    <w:rsid w:val="5B2F1F99"/>
    <w:rsid w:val="5B4A6DD2"/>
    <w:rsid w:val="5B4B204F"/>
    <w:rsid w:val="5B7756EE"/>
    <w:rsid w:val="5B857E0A"/>
    <w:rsid w:val="5B8A71CF"/>
    <w:rsid w:val="5B8F47E5"/>
    <w:rsid w:val="5BA858A7"/>
    <w:rsid w:val="5BBB382C"/>
    <w:rsid w:val="5BC908BA"/>
    <w:rsid w:val="5BE24E75"/>
    <w:rsid w:val="5BE66CE8"/>
    <w:rsid w:val="5BF3746A"/>
    <w:rsid w:val="5C05333F"/>
    <w:rsid w:val="5C0C052C"/>
    <w:rsid w:val="5C2B0143"/>
    <w:rsid w:val="5C30522C"/>
    <w:rsid w:val="5C383DA3"/>
    <w:rsid w:val="5C422697"/>
    <w:rsid w:val="5C5477DD"/>
    <w:rsid w:val="5C553C81"/>
    <w:rsid w:val="5C9F6CAA"/>
    <w:rsid w:val="5CAC7619"/>
    <w:rsid w:val="5CB0535B"/>
    <w:rsid w:val="5CBF734C"/>
    <w:rsid w:val="5CEB1EEF"/>
    <w:rsid w:val="5CFD7E74"/>
    <w:rsid w:val="5D0C00B7"/>
    <w:rsid w:val="5D184CAE"/>
    <w:rsid w:val="5D1A0A26"/>
    <w:rsid w:val="5D443CF5"/>
    <w:rsid w:val="5D445C4B"/>
    <w:rsid w:val="5D4B6E32"/>
    <w:rsid w:val="5D6A375C"/>
    <w:rsid w:val="5D704AEA"/>
    <w:rsid w:val="5D731EE5"/>
    <w:rsid w:val="5D7E0FB5"/>
    <w:rsid w:val="5D83037A"/>
    <w:rsid w:val="5D881E34"/>
    <w:rsid w:val="5D9A56C3"/>
    <w:rsid w:val="5DA87DE0"/>
    <w:rsid w:val="5DB524FD"/>
    <w:rsid w:val="5DB76275"/>
    <w:rsid w:val="5DB93D9B"/>
    <w:rsid w:val="5DBF0709"/>
    <w:rsid w:val="5DBF70F0"/>
    <w:rsid w:val="5DC13151"/>
    <w:rsid w:val="5DC82230"/>
    <w:rsid w:val="5DC866D4"/>
    <w:rsid w:val="5DE8778C"/>
    <w:rsid w:val="5DF11787"/>
    <w:rsid w:val="5E033269"/>
    <w:rsid w:val="5E084D23"/>
    <w:rsid w:val="5E1753DB"/>
    <w:rsid w:val="5E331DA0"/>
    <w:rsid w:val="5E9C47B5"/>
    <w:rsid w:val="5EA66A16"/>
    <w:rsid w:val="5ED13367"/>
    <w:rsid w:val="5ED846F5"/>
    <w:rsid w:val="5EDA3CA6"/>
    <w:rsid w:val="5F1119B5"/>
    <w:rsid w:val="5F16521D"/>
    <w:rsid w:val="5F27742B"/>
    <w:rsid w:val="5F42525F"/>
    <w:rsid w:val="5F48187B"/>
    <w:rsid w:val="5F4955F3"/>
    <w:rsid w:val="5F887EC9"/>
    <w:rsid w:val="5F93061C"/>
    <w:rsid w:val="5F954394"/>
    <w:rsid w:val="5F960335"/>
    <w:rsid w:val="5FA4060C"/>
    <w:rsid w:val="5FB05672"/>
    <w:rsid w:val="5FC058B5"/>
    <w:rsid w:val="5FC52ECB"/>
    <w:rsid w:val="5FDD7591"/>
    <w:rsid w:val="5FDE5D3B"/>
    <w:rsid w:val="5FEE3E15"/>
    <w:rsid w:val="5FF82CFA"/>
    <w:rsid w:val="604858AA"/>
    <w:rsid w:val="605424A1"/>
    <w:rsid w:val="60566219"/>
    <w:rsid w:val="606647BC"/>
    <w:rsid w:val="60793CB6"/>
    <w:rsid w:val="609749F5"/>
    <w:rsid w:val="609D79A4"/>
    <w:rsid w:val="60A2320D"/>
    <w:rsid w:val="60B82A30"/>
    <w:rsid w:val="60BD3BA3"/>
    <w:rsid w:val="60D31618"/>
    <w:rsid w:val="60D3786A"/>
    <w:rsid w:val="60EC26DA"/>
    <w:rsid w:val="60F63558"/>
    <w:rsid w:val="61016185"/>
    <w:rsid w:val="610619ED"/>
    <w:rsid w:val="6110461A"/>
    <w:rsid w:val="613227E3"/>
    <w:rsid w:val="613B0F6B"/>
    <w:rsid w:val="61461DEA"/>
    <w:rsid w:val="615F4C5A"/>
    <w:rsid w:val="617D1584"/>
    <w:rsid w:val="617F52FC"/>
    <w:rsid w:val="61923281"/>
    <w:rsid w:val="6195412E"/>
    <w:rsid w:val="61A905CB"/>
    <w:rsid w:val="61DA21C2"/>
    <w:rsid w:val="61F41846"/>
    <w:rsid w:val="61F96E5C"/>
    <w:rsid w:val="62013F63"/>
    <w:rsid w:val="62031A89"/>
    <w:rsid w:val="621C2B4B"/>
    <w:rsid w:val="6220088D"/>
    <w:rsid w:val="623954AB"/>
    <w:rsid w:val="623E51B7"/>
    <w:rsid w:val="625642AF"/>
    <w:rsid w:val="626C64B5"/>
    <w:rsid w:val="62740BD9"/>
    <w:rsid w:val="627E3805"/>
    <w:rsid w:val="62A36DC8"/>
    <w:rsid w:val="62B15989"/>
    <w:rsid w:val="62CC631F"/>
    <w:rsid w:val="62CE653B"/>
    <w:rsid w:val="62D17DD9"/>
    <w:rsid w:val="62D43425"/>
    <w:rsid w:val="62E278F0"/>
    <w:rsid w:val="62EA49F7"/>
    <w:rsid w:val="62EB5CDF"/>
    <w:rsid w:val="631A16A8"/>
    <w:rsid w:val="63351269"/>
    <w:rsid w:val="634C7460"/>
    <w:rsid w:val="634E7E04"/>
    <w:rsid w:val="6374344C"/>
    <w:rsid w:val="638C5AAE"/>
    <w:rsid w:val="63952DA7"/>
    <w:rsid w:val="63972DD1"/>
    <w:rsid w:val="63A11115"/>
    <w:rsid w:val="63BA6A4B"/>
    <w:rsid w:val="63E94CAF"/>
    <w:rsid w:val="63EA73A4"/>
    <w:rsid w:val="63FA510E"/>
    <w:rsid w:val="64030466"/>
    <w:rsid w:val="641066DF"/>
    <w:rsid w:val="641206A9"/>
    <w:rsid w:val="64151F48"/>
    <w:rsid w:val="641C32D6"/>
    <w:rsid w:val="644C3BBB"/>
    <w:rsid w:val="64693980"/>
    <w:rsid w:val="646B1B68"/>
    <w:rsid w:val="646F78AA"/>
    <w:rsid w:val="64A77044"/>
    <w:rsid w:val="64B40B67"/>
    <w:rsid w:val="64BC4327"/>
    <w:rsid w:val="64C85A75"/>
    <w:rsid w:val="64CC6AAA"/>
    <w:rsid w:val="64D21BE7"/>
    <w:rsid w:val="64D70D63"/>
    <w:rsid w:val="64EB5977"/>
    <w:rsid w:val="64F63B27"/>
    <w:rsid w:val="65130235"/>
    <w:rsid w:val="65206DF6"/>
    <w:rsid w:val="65372C0E"/>
    <w:rsid w:val="654A79CF"/>
    <w:rsid w:val="655D7702"/>
    <w:rsid w:val="6562740E"/>
    <w:rsid w:val="65646CE3"/>
    <w:rsid w:val="65744A4C"/>
    <w:rsid w:val="6578453C"/>
    <w:rsid w:val="659D0447"/>
    <w:rsid w:val="65A92BA3"/>
    <w:rsid w:val="65B31A18"/>
    <w:rsid w:val="65B512EC"/>
    <w:rsid w:val="65E73470"/>
    <w:rsid w:val="66012783"/>
    <w:rsid w:val="66065FEC"/>
    <w:rsid w:val="66124991"/>
    <w:rsid w:val="66263F98"/>
    <w:rsid w:val="662B5A52"/>
    <w:rsid w:val="666351EC"/>
    <w:rsid w:val="668F5FE1"/>
    <w:rsid w:val="669730E8"/>
    <w:rsid w:val="669F3874"/>
    <w:rsid w:val="66C35C8B"/>
    <w:rsid w:val="66D02156"/>
    <w:rsid w:val="66E16111"/>
    <w:rsid w:val="66E31E89"/>
    <w:rsid w:val="66F10A4A"/>
    <w:rsid w:val="66F347C2"/>
    <w:rsid w:val="66F83B86"/>
    <w:rsid w:val="66FB3E37"/>
    <w:rsid w:val="671464E6"/>
    <w:rsid w:val="67237D09"/>
    <w:rsid w:val="67386679"/>
    <w:rsid w:val="675114E9"/>
    <w:rsid w:val="67630BD4"/>
    <w:rsid w:val="676B07FC"/>
    <w:rsid w:val="677671A1"/>
    <w:rsid w:val="677C7CA3"/>
    <w:rsid w:val="6787315C"/>
    <w:rsid w:val="67876CB8"/>
    <w:rsid w:val="67931B01"/>
    <w:rsid w:val="67A7735B"/>
    <w:rsid w:val="67B6759E"/>
    <w:rsid w:val="67CE0D8B"/>
    <w:rsid w:val="680447AD"/>
    <w:rsid w:val="68142C42"/>
    <w:rsid w:val="68242759"/>
    <w:rsid w:val="682E182A"/>
    <w:rsid w:val="68376930"/>
    <w:rsid w:val="684352D5"/>
    <w:rsid w:val="687C07E7"/>
    <w:rsid w:val="687E0D52"/>
    <w:rsid w:val="68906740"/>
    <w:rsid w:val="68AF4719"/>
    <w:rsid w:val="68B65AA7"/>
    <w:rsid w:val="68DB550E"/>
    <w:rsid w:val="68E5638C"/>
    <w:rsid w:val="68EC49A5"/>
    <w:rsid w:val="690F397F"/>
    <w:rsid w:val="691C78D4"/>
    <w:rsid w:val="693D1D24"/>
    <w:rsid w:val="694C01BA"/>
    <w:rsid w:val="696E0130"/>
    <w:rsid w:val="697F058F"/>
    <w:rsid w:val="69AC6C0B"/>
    <w:rsid w:val="69AF055A"/>
    <w:rsid w:val="69B6118A"/>
    <w:rsid w:val="69B875FD"/>
    <w:rsid w:val="69C20C02"/>
    <w:rsid w:val="69C340F2"/>
    <w:rsid w:val="69D00DEB"/>
    <w:rsid w:val="69E2467A"/>
    <w:rsid w:val="69F820EF"/>
    <w:rsid w:val="69F85C4B"/>
    <w:rsid w:val="69F940E2"/>
    <w:rsid w:val="6A0B3BD1"/>
    <w:rsid w:val="6A1D3904"/>
    <w:rsid w:val="6A3273AF"/>
    <w:rsid w:val="6A4B66C3"/>
    <w:rsid w:val="6A5512F0"/>
    <w:rsid w:val="6A570BC4"/>
    <w:rsid w:val="6A86594D"/>
    <w:rsid w:val="6A90057A"/>
    <w:rsid w:val="6A995680"/>
    <w:rsid w:val="6AC36259"/>
    <w:rsid w:val="6AC41FD2"/>
    <w:rsid w:val="6ACF2E50"/>
    <w:rsid w:val="6ADF0BB9"/>
    <w:rsid w:val="6AE0505D"/>
    <w:rsid w:val="6AEA5EDC"/>
    <w:rsid w:val="6AEB07F1"/>
    <w:rsid w:val="6AF44F46"/>
    <w:rsid w:val="6B1E16E2"/>
    <w:rsid w:val="6B293D9A"/>
    <w:rsid w:val="6B3042FF"/>
    <w:rsid w:val="6B596BBE"/>
    <w:rsid w:val="6B60619E"/>
    <w:rsid w:val="6B7C465A"/>
    <w:rsid w:val="6B8050BC"/>
    <w:rsid w:val="6BB65DBE"/>
    <w:rsid w:val="6BB81B36"/>
    <w:rsid w:val="6BC009EB"/>
    <w:rsid w:val="6BC54253"/>
    <w:rsid w:val="6BF56C52"/>
    <w:rsid w:val="6C427652"/>
    <w:rsid w:val="6C537AB1"/>
    <w:rsid w:val="6C6C46CF"/>
    <w:rsid w:val="6C8D5649"/>
    <w:rsid w:val="6CA64085"/>
    <w:rsid w:val="6CA87DFD"/>
    <w:rsid w:val="6CCA1F28"/>
    <w:rsid w:val="6CD02EB0"/>
    <w:rsid w:val="6CE452D6"/>
    <w:rsid w:val="6D1159A2"/>
    <w:rsid w:val="6D350F65"/>
    <w:rsid w:val="6D4713C4"/>
    <w:rsid w:val="6D5F7BD0"/>
    <w:rsid w:val="6D910891"/>
    <w:rsid w:val="6DA51185"/>
    <w:rsid w:val="6DA87988"/>
    <w:rsid w:val="6DAD31F1"/>
    <w:rsid w:val="6DDD441D"/>
    <w:rsid w:val="6DE309C1"/>
    <w:rsid w:val="6DF130DE"/>
    <w:rsid w:val="6E31797E"/>
    <w:rsid w:val="6E3A4A84"/>
    <w:rsid w:val="6E755ABD"/>
    <w:rsid w:val="6E78042D"/>
    <w:rsid w:val="6EA36ACE"/>
    <w:rsid w:val="6EA713C0"/>
    <w:rsid w:val="6EC22C6A"/>
    <w:rsid w:val="6ECB392F"/>
    <w:rsid w:val="6EE175F6"/>
    <w:rsid w:val="6EF410D7"/>
    <w:rsid w:val="6F062BB9"/>
    <w:rsid w:val="6F186900"/>
    <w:rsid w:val="6F2B0871"/>
    <w:rsid w:val="6F3230FE"/>
    <w:rsid w:val="6F437969"/>
    <w:rsid w:val="6F4D6A39"/>
    <w:rsid w:val="6F5452D3"/>
    <w:rsid w:val="6F593630"/>
    <w:rsid w:val="6F7A5D74"/>
    <w:rsid w:val="6F7C10CD"/>
    <w:rsid w:val="6FA75F3B"/>
    <w:rsid w:val="6FB6638D"/>
    <w:rsid w:val="6FF375E1"/>
    <w:rsid w:val="6FF869A5"/>
    <w:rsid w:val="704A532F"/>
    <w:rsid w:val="70643A4D"/>
    <w:rsid w:val="70716758"/>
    <w:rsid w:val="708159DE"/>
    <w:rsid w:val="7089584F"/>
    <w:rsid w:val="70CB230C"/>
    <w:rsid w:val="70F21646"/>
    <w:rsid w:val="711C66C3"/>
    <w:rsid w:val="711F61B4"/>
    <w:rsid w:val="71765292"/>
    <w:rsid w:val="717E112C"/>
    <w:rsid w:val="71865B23"/>
    <w:rsid w:val="719721EE"/>
    <w:rsid w:val="71A212BE"/>
    <w:rsid w:val="71B42DA0"/>
    <w:rsid w:val="71F92EA9"/>
    <w:rsid w:val="72007D93"/>
    <w:rsid w:val="72021D5D"/>
    <w:rsid w:val="72086C48"/>
    <w:rsid w:val="723637B5"/>
    <w:rsid w:val="72435ED2"/>
    <w:rsid w:val="7251239D"/>
    <w:rsid w:val="72600832"/>
    <w:rsid w:val="727442DD"/>
    <w:rsid w:val="72897D89"/>
    <w:rsid w:val="72D86CA9"/>
    <w:rsid w:val="730B2E93"/>
    <w:rsid w:val="731A6C33"/>
    <w:rsid w:val="731F249B"/>
    <w:rsid w:val="732F791E"/>
    <w:rsid w:val="73326672"/>
    <w:rsid w:val="73373C88"/>
    <w:rsid w:val="733E6DC5"/>
    <w:rsid w:val="73411B0D"/>
    <w:rsid w:val="734B045B"/>
    <w:rsid w:val="736F3422"/>
    <w:rsid w:val="739264C9"/>
    <w:rsid w:val="73A62BBC"/>
    <w:rsid w:val="73C44DF0"/>
    <w:rsid w:val="73D2575F"/>
    <w:rsid w:val="73D47729"/>
    <w:rsid w:val="73D74B24"/>
    <w:rsid w:val="73F41F8C"/>
    <w:rsid w:val="73FC27DC"/>
    <w:rsid w:val="7400407A"/>
    <w:rsid w:val="740D2C3B"/>
    <w:rsid w:val="74122000"/>
    <w:rsid w:val="741A3CA7"/>
    <w:rsid w:val="74310861"/>
    <w:rsid w:val="74381A66"/>
    <w:rsid w:val="743B3304"/>
    <w:rsid w:val="74404DBF"/>
    <w:rsid w:val="74583EB6"/>
    <w:rsid w:val="74793E2D"/>
    <w:rsid w:val="74C23A26"/>
    <w:rsid w:val="74C94DB4"/>
    <w:rsid w:val="74D472B5"/>
    <w:rsid w:val="75093403"/>
    <w:rsid w:val="75114065"/>
    <w:rsid w:val="751D2A0A"/>
    <w:rsid w:val="752C0E9F"/>
    <w:rsid w:val="75322452"/>
    <w:rsid w:val="75556682"/>
    <w:rsid w:val="7587042E"/>
    <w:rsid w:val="75C4732A"/>
    <w:rsid w:val="75CD4430"/>
    <w:rsid w:val="75DC4673"/>
    <w:rsid w:val="75E23873"/>
    <w:rsid w:val="75E85738"/>
    <w:rsid w:val="75F61BD9"/>
    <w:rsid w:val="7614053C"/>
    <w:rsid w:val="76200A04"/>
    <w:rsid w:val="764B35A7"/>
    <w:rsid w:val="764F12E9"/>
    <w:rsid w:val="76876296"/>
    <w:rsid w:val="769A6A08"/>
    <w:rsid w:val="76A50F09"/>
    <w:rsid w:val="76AC673B"/>
    <w:rsid w:val="76B4739E"/>
    <w:rsid w:val="76CC0B8C"/>
    <w:rsid w:val="76DB2B7D"/>
    <w:rsid w:val="76F52AFE"/>
    <w:rsid w:val="77144843"/>
    <w:rsid w:val="7725204A"/>
    <w:rsid w:val="77514BED"/>
    <w:rsid w:val="77560455"/>
    <w:rsid w:val="777811D4"/>
    <w:rsid w:val="77903967"/>
    <w:rsid w:val="77C101CA"/>
    <w:rsid w:val="77CD482C"/>
    <w:rsid w:val="77D323A7"/>
    <w:rsid w:val="77E65C7D"/>
    <w:rsid w:val="77FC247B"/>
    <w:rsid w:val="78140451"/>
    <w:rsid w:val="782B2C12"/>
    <w:rsid w:val="782D11B6"/>
    <w:rsid w:val="78454B82"/>
    <w:rsid w:val="785E1CB7"/>
    <w:rsid w:val="78816041"/>
    <w:rsid w:val="78852DA0"/>
    <w:rsid w:val="78857244"/>
    <w:rsid w:val="78915BE9"/>
    <w:rsid w:val="78B47B29"/>
    <w:rsid w:val="78B64C80"/>
    <w:rsid w:val="78C31B1A"/>
    <w:rsid w:val="78CF04BF"/>
    <w:rsid w:val="79132AA2"/>
    <w:rsid w:val="795A080C"/>
    <w:rsid w:val="796B01E8"/>
    <w:rsid w:val="797A2FE7"/>
    <w:rsid w:val="799D05BD"/>
    <w:rsid w:val="79BC6C95"/>
    <w:rsid w:val="79BE0C60"/>
    <w:rsid w:val="79EB1329"/>
    <w:rsid w:val="79EE2BC7"/>
    <w:rsid w:val="79F93A46"/>
    <w:rsid w:val="7A020420"/>
    <w:rsid w:val="7A293BFF"/>
    <w:rsid w:val="7A432F13"/>
    <w:rsid w:val="7A7725C1"/>
    <w:rsid w:val="7A7E6AD3"/>
    <w:rsid w:val="7A88301C"/>
    <w:rsid w:val="7A8F6158"/>
    <w:rsid w:val="7AAA11E4"/>
    <w:rsid w:val="7AAC0AB8"/>
    <w:rsid w:val="7AC07E9C"/>
    <w:rsid w:val="7AE2097E"/>
    <w:rsid w:val="7AEF309B"/>
    <w:rsid w:val="7AF366E7"/>
    <w:rsid w:val="7AF75AAB"/>
    <w:rsid w:val="7AFE5CF3"/>
    <w:rsid w:val="7B30793B"/>
    <w:rsid w:val="7B58479C"/>
    <w:rsid w:val="7B5F5404"/>
    <w:rsid w:val="7B835E63"/>
    <w:rsid w:val="7B902188"/>
    <w:rsid w:val="7BBB4D2B"/>
    <w:rsid w:val="7BDF4EBD"/>
    <w:rsid w:val="7BE41E55"/>
    <w:rsid w:val="7BF53A86"/>
    <w:rsid w:val="7C216F34"/>
    <w:rsid w:val="7C347AF0"/>
    <w:rsid w:val="7C405169"/>
    <w:rsid w:val="7C6B6751"/>
    <w:rsid w:val="7C6D4277"/>
    <w:rsid w:val="7C703D67"/>
    <w:rsid w:val="7C8D2B6B"/>
    <w:rsid w:val="7CC7607D"/>
    <w:rsid w:val="7CC85951"/>
    <w:rsid w:val="7CEE2AAC"/>
    <w:rsid w:val="7D034BDB"/>
    <w:rsid w:val="7D1B0177"/>
    <w:rsid w:val="7D284642"/>
    <w:rsid w:val="7D327DB0"/>
    <w:rsid w:val="7D4A45B8"/>
    <w:rsid w:val="7D4E40A8"/>
    <w:rsid w:val="7D586CD5"/>
    <w:rsid w:val="7D67516A"/>
    <w:rsid w:val="7D8F021D"/>
    <w:rsid w:val="7DA77C5D"/>
    <w:rsid w:val="7DD32800"/>
    <w:rsid w:val="7DE60785"/>
    <w:rsid w:val="7DF10ED8"/>
    <w:rsid w:val="7DF722A5"/>
    <w:rsid w:val="7DFC1D56"/>
    <w:rsid w:val="7E026C41"/>
    <w:rsid w:val="7E062BD5"/>
    <w:rsid w:val="7E1F77F3"/>
    <w:rsid w:val="7E292420"/>
    <w:rsid w:val="7E3A63DB"/>
    <w:rsid w:val="7E492AC2"/>
    <w:rsid w:val="7E682F48"/>
    <w:rsid w:val="7E6C6882"/>
    <w:rsid w:val="7E885398"/>
    <w:rsid w:val="7EBB39C0"/>
    <w:rsid w:val="7EC42148"/>
    <w:rsid w:val="7EC9775F"/>
    <w:rsid w:val="7ECF2FC7"/>
    <w:rsid w:val="7F0408B2"/>
    <w:rsid w:val="7F0C421B"/>
    <w:rsid w:val="7F1D519F"/>
    <w:rsid w:val="7F406F56"/>
    <w:rsid w:val="7F475962"/>
    <w:rsid w:val="7F492D2C"/>
    <w:rsid w:val="7F4E2109"/>
    <w:rsid w:val="7F6D0B47"/>
    <w:rsid w:val="7FA51F7A"/>
    <w:rsid w:val="7FB977D3"/>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1"/>
      <w:szCs w:val="21"/>
      <w:lang w:val="en-US" w:eastAsia="zh-CN" w:bidi="ar-SA"/>
    </w:rPr>
  </w:style>
  <w:style w:type="paragraph" w:styleId="3">
    <w:name w:val="heading 1"/>
    <w:basedOn w:val="1"/>
    <w:next w:val="1"/>
    <w:link w:val="24"/>
    <w:qFormat/>
    <w:uiPriority w:val="9"/>
    <w:pPr>
      <w:keepNext/>
      <w:keepLines/>
      <w:spacing w:before="100" w:beforeLines="100" w:after="100" w:afterLines="100"/>
      <w:jc w:val="center"/>
      <w:outlineLvl w:val="0"/>
    </w:pPr>
    <w:rPr>
      <w:b/>
      <w:color w:val="000000" w:themeColor="text1"/>
      <w:sz w:val="28"/>
      <w:szCs w:val="28"/>
      <w14:textFill>
        <w14:solidFill>
          <w14:schemeClr w14:val="tx1"/>
        </w14:solidFill>
      </w14:textFill>
    </w:rPr>
  </w:style>
  <w:style w:type="paragraph" w:styleId="4">
    <w:name w:val="heading 2"/>
    <w:basedOn w:val="3"/>
    <w:next w:val="1"/>
    <w:link w:val="25"/>
    <w:semiHidden/>
    <w:unhideWhenUsed/>
    <w:qFormat/>
    <w:uiPriority w:val="9"/>
    <w:pPr>
      <w:keepNext/>
      <w:keepLines/>
      <w:jc w:val="center"/>
      <w:outlineLvl w:val="1"/>
    </w:pPr>
    <w:rPr>
      <w:rFonts w:ascii="仿宋" w:hAnsi="仿宋" w:eastAsia="仿宋" w:cs="仿宋"/>
      <w:color w:val="104862" w:themeColor="accent1" w:themeShade="BF"/>
      <w:sz w:val="28"/>
      <w:szCs w:val="28"/>
    </w:rPr>
  </w:style>
  <w:style w:type="paragraph" w:styleId="5">
    <w:name w:val="heading 3"/>
    <w:basedOn w:val="4"/>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12">
    <w:name w:val="annotation text"/>
    <w:basedOn w:val="1"/>
    <w:semiHidden/>
    <w:unhideWhenUsed/>
    <w:qFormat/>
    <w:uiPriority w:val="99"/>
    <w:pPr>
      <w:jc w:val="left"/>
    </w:pPr>
  </w:style>
  <w:style w:type="paragraph" w:styleId="13">
    <w:name w:val="toc 3"/>
    <w:basedOn w:val="1"/>
    <w:next w:val="1"/>
    <w:semiHidden/>
    <w:unhideWhenUsed/>
    <w:qFormat/>
    <w:uiPriority w:val="39"/>
    <w:pPr>
      <w:ind w:left="840" w:leftChars="400"/>
    </w:pPr>
  </w:style>
  <w:style w:type="paragraph" w:styleId="14">
    <w:name w:val="footer"/>
    <w:basedOn w:val="1"/>
    <w:qFormat/>
    <w:uiPriority w:val="99"/>
    <w:pPr>
      <w:tabs>
        <w:tab w:val="center" w:pos="4153"/>
        <w:tab w:val="right" w:pos="8306"/>
      </w:tabs>
      <w:snapToGrid w:val="0"/>
      <w:spacing w:line="240" w:lineRule="auto"/>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semiHidden/>
    <w:unhideWhenUsed/>
    <w:qFormat/>
    <w:uiPriority w:val="39"/>
  </w:style>
  <w:style w:type="paragraph" w:styleId="17">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Body Text First Indent 2"/>
    <w:next w:val="1"/>
    <w:unhideWhenUsed/>
    <w:qFormat/>
    <w:uiPriority w:val="0"/>
    <w:pPr>
      <w:widowControl w:val="0"/>
      <w:spacing w:after="120"/>
      <w:ind w:left="420" w:leftChars="200" w:firstLine="420" w:firstLineChars="200"/>
      <w:jc w:val="both"/>
    </w:pPr>
    <w:rPr>
      <w:rFonts w:ascii="Times New Roman" w:hAnsi="Times New Roman" w:eastAsia="宋体" w:cs="Times New Roman"/>
      <w:kern w:val="0"/>
      <w:sz w:val="20"/>
      <w:szCs w:val="20"/>
      <w:lang w:val="en-US" w:eastAsia="zh-CN" w:bidi="ar-SA"/>
    </w:r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customStyle="1" w:styleId="24">
    <w:name w:val="标题 1 字符"/>
    <w:basedOn w:val="22"/>
    <w:link w:val="3"/>
    <w:qFormat/>
    <w:uiPriority w:val="9"/>
    <w:rPr>
      <w:rFonts w:ascii="宋体" w:hAnsi="宋体" w:eastAsia="宋体" w:cs="仿宋"/>
      <w:b/>
      <w:color w:val="000000" w:themeColor="text1"/>
      <w:sz w:val="28"/>
      <w:szCs w:val="28"/>
      <w14:textFill>
        <w14:solidFill>
          <w14:schemeClr w14:val="tx1"/>
        </w14:solidFill>
      </w14:textFill>
    </w:rPr>
  </w:style>
  <w:style w:type="character" w:customStyle="1" w:styleId="25">
    <w:name w:val="标题 2 字符"/>
    <w:basedOn w:val="22"/>
    <w:link w:val="4"/>
    <w:semiHidden/>
    <w:qFormat/>
    <w:uiPriority w:val="9"/>
    <w:rPr>
      <w:rFonts w:ascii="仿宋" w:hAnsi="仿宋" w:eastAsia="仿宋" w:cs="仿宋"/>
      <w:color w:val="104862" w:themeColor="accent1" w:themeShade="BF"/>
      <w:sz w:val="28"/>
      <w:szCs w:val="28"/>
    </w:rPr>
  </w:style>
  <w:style w:type="character" w:customStyle="1" w:styleId="26">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2"/>
    <w:link w:val="6"/>
    <w:semiHidden/>
    <w:qFormat/>
    <w:uiPriority w:val="9"/>
    <w:rPr>
      <w:rFonts w:cstheme="majorBidi"/>
      <w:color w:val="104862" w:themeColor="accent1" w:themeShade="BF"/>
      <w:sz w:val="28"/>
      <w:szCs w:val="28"/>
    </w:rPr>
  </w:style>
  <w:style w:type="character" w:customStyle="1" w:styleId="28">
    <w:name w:val="标题 5 字符"/>
    <w:basedOn w:val="22"/>
    <w:link w:val="7"/>
    <w:semiHidden/>
    <w:qFormat/>
    <w:uiPriority w:val="9"/>
    <w:rPr>
      <w:rFonts w:cstheme="majorBidi"/>
      <w:color w:val="104862" w:themeColor="accent1" w:themeShade="BF"/>
      <w:sz w:val="24"/>
    </w:rPr>
  </w:style>
  <w:style w:type="character" w:customStyle="1" w:styleId="29">
    <w:name w:val="标题 6 字符"/>
    <w:basedOn w:val="22"/>
    <w:link w:val="8"/>
    <w:semiHidden/>
    <w:qFormat/>
    <w:uiPriority w:val="9"/>
    <w:rPr>
      <w:rFonts w:cstheme="majorBidi"/>
      <w:b/>
      <w:bCs/>
      <w:color w:val="104862" w:themeColor="accent1" w:themeShade="BF"/>
    </w:rPr>
  </w:style>
  <w:style w:type="character" w:customStyle="1" w:styleId="30">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7192</Words>
  <Characters>7537</Characters>
  <Lines>14</Lines>
  <Paragraphs>3</Paragraphs>
  <TotalTime>2</TotalTime>
  <ScaleCrop>false</ScaleCrop>
  <LinksUpToDate>false</LinksUpToDate>
  <CharactersWithSpaces>7577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2026-01-14T00:51:00Z</dcterms:created>
  <dc:creator>Microsoft Office 用户</dc:creator>
  <cp:lastModifiedBy>高军</cp:lastModifiedBy>
  <cp:lastPrinted>2026-05-09T09:30:00Z</cp:lastPrinted>
  <dcterms:modified xsi:type="dcterms:W3CDTF">2026-05-15T12:05:08Z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eyJoZGlkIjoiOTY0MDk5OWM4OWNkZjE1NGJlMjcxZjRmMmViYTNiMjEiLCJ1c2VySWQiOiIxNDQ3ODIwMTc2In0=</vt:lpwstr>
  </property>
  <property fmtid="{D5CDD505-2E9C-101B-9397-08002B2CF9AE}" pid="3" name="KSOProductBuildVer">
    <vt:lpwstr>2052-12.1.0.25225</vt:lpwstr>
  </property>
  <property fmtid="{D5CDD505-2E9C-101B-9397-08002B2CF9AE}" pid="4" name="ICV">
    <vt:lpwstr>DAC73F8E81094BB19E9588649E150FED_13</vt:lpwstr>
  </property>
</Properties>
</file>